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CF23F" w14:textId="3F05E860" w:rsidR="00296806" w:rsidRPr="00841BCD" w:rsidRDefault="00296806" w:rsidP="002968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058E1" w:rsidRPr="004058E1">
        <w:rPr>
          <w:rFonts w:ascii="Arial" w:eastAsia="SimSun" w:hAnsi="Arial" w:cs="Times New Roman"/>
          <w:b/>
          <w:bCs/>
          <w:sz w:val="24"/>
          <w:szCs w:val="20"/>
          <w:lang w:val="en-GB" w:eastAsia="ja-JP"/>
        </w:rPr>
        <w:t>R4-1809179</w:t>
      </w:r>
    </w:p>
    <w:p w14:paraId="01D62AD7" w14:textId="77777777" w:rsidR="00296806" w:rsidRPr="00841BCD" w:rsidRDefault="00296806" w:rsidP="002968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Montreal, Canada, 2 – 6 July 2018</w:t>
      </w:r>
    </w:p>
    <w:bookmarkEnd w:id="0"/>
    <w:bookmarkEnd w:id="1"/>
    <w:p w14:paraId="496004F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3AA8804"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030BB99"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43A78">
        <w:rPr>
          <w:rFonts w:ascii="Arial" w:eastAsia="Calibri" w:hAnsi="Arial" w:cs="Arial"/>
          <w:b/>
          <w:bCs/>
          <w:sz w:val="24"/>
          <w:lang w:val="en-GB"/>
        </w:rPr>
        <w:t>RRM part of BWP switching</w:t>
      </w:r>
    </w:p>
    <w:p w14:paraId="2899B4A0" w14:textId="0042294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058E1" w:rsidRPr="004058E1">
        <w:rPr>
          <w:rFonts w:ascii="Arial" w:eastAsia="MS Mincho" w:hAnsi="Arial" w:cs="Arial"/>
          <w:b/>
          <w:bCs/>
          <w:sz w:val="24"/>
          <w:szCs w:val="20"/>
          <w:lang w:val="en-GB"/>
        </w:rPr>
        <w:t>5.2.8.4</w:t>
      </w:r>
    </w:p>
    <w:p w14:paraId="2BB32203"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74371">
        <w:rPr>
          <w:rFonts w:ascii="Arial" w:eastAsia="Calibri" w:hAnsi="Arial" w:cs="Arial"/>
          <w:b/>
          <w:bCs/>
          <w:sz w:val="24"/>
          <w:lang w:val="en-GB"/>
        </w:rPr>
        <w:t>Discussion</w:t>
      </w:r>
    </w:p>
    <w:p w14:paraId="122C964C" w14:textId="76F429AE" w:rsidR="00841BCD" w:rsidRDefault="00841BCD" w:rsidP="00A37002">
      <w:pPr>
        <w:pStyle w:val="RAN4H1"/>
      </w:pPr>
      <w:r w:rsidRPr="00AE56B1">
        <w:t>Intro</w:t>
      </w:r>
      <w:r w:rsidRPr="00AE56B1">
        <w:rPr>
          <w:rStyle w:val="RAN4H1Char"/>
        </w:rPr>
        <w:t>ductio</w:t>
      </w:r>
      <w:r w:rsidRPr="00AE56B1">
        <w:t>n</w:t>
      </w:r>
    </w:p>
    <w:p w14:paraId="0FAF09D9" w14:textId="0EA3FA43" w:rsidR="000D199F" w:rsidRDefault="000D199F" w:rsidP="00974371">
      <w:pPr>
        <w:rPr>
          <w:lang w:val="en-GB"/>
        </w:rPr>
      </w:pPr>
      <w:r>
        <w:rPr>
          <w:lang w:val="en-GB"/>
        </w:rPr>
        <w:t xml:space="preserve">Discussion about </w:t>
      </w:r>
      <w:r w:rsidR="00C92ECB">
        <w:rPr>
          <w:lang w:val="en-GB"/>
        </w:rPr>
        <w:t xml:space="preserve">the </w:t>
      </w:r>
      <w:r>
        <w:rPr>
          <w:lang w:val="en-GB"/>
        </w:rPr>
        <w:t xml:space="preserve">RRM part of BWP switching has been going on for the last two RAN4 meetings. In the previous meeting a way forward was agreed in [1]. Details of the discussion have been about the interruption/delay that BWP switching causes to the transmission on cell where BWP is switched, and interruptions that are caused to other cells. In this contribution </w:t>
      </w:r>
      <w:r w:rsidR="00CD51E0">
        <w:rPr>
          <w:lang w:val="en-GB"/>
        </w:rPr>
        <w:t>we continue the discussion taking into account different BWP switching types.</w:t>
      </w:r>
    </w:p>
    <w:p w14:paraId="5D717AE6" w14:textId="0F45DF60" w:rsidR="000D199F" w:rsidRDefault="009B31F4" w:rsidP="000D199F">
      <w:pPr>
        <w:pStyle w:val="RAN4H1"/>
      </w:pPr>
      <w:r>
        <w:t>Background</w:t>
      </w:r>
    </w:p>
    <w:p w14:paraId="78E35FD4" w14:textId="16709EA9" w:rsidR="00052F27" w:rsidRPr="00052F27" w:rsidRDefault="00177E9A" w:rsidP="000D199F">
      <w:pPr>
        <w:rPr>
          <w:lang w:val="en-GB"/>
        </w:rPr>
      </w:pPr>
      <w:r>
        <w:rPr>
          <w:lang w:val="en-GB"/>
        </w:rPr>
        <w:t>The main c</w:t>
      </w:r>
      <w:r w:rsidR="00BC2E7A">
        <w:rPr>
          <w:lang w:val="en-GB"/>
        </w:rPr>
        <w:t>ontents of the way forward [1] regardin</w:t>
      </w:r>
      <w:r>
        <w:rPr>
          <w:lang w:val="en-GB"/>
        </w:rPr>
        <w:t xml:space="preserve">g the timeline of BWP switching, delay and interruptions </w:t>
      </w:r>
      <w:r w:rsidR="00BC2E7A">
        <w:rPr>
          <w:lang w:val="en-GB"/>
        </w:rPr>
        <w:t>are repeated below.</w:t>
      </w:r>
    </w:p>
    <w:tbl>
      <w:tblPr>
        <w:tblpPr w:leftFromText="180" w:rightFromText="180" w:vertAnchor="text" w:horzAnchor="page" w:tblpX="1669" w:tblpY="378"/>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052F27" w14:paraId="7CD85073" w14:textId="77777777" w:rsidTr="00052F27">
        <w:trPr>
          <w:trHeight w:val="100"/>
        </w:trPr>
        <w:tc>
          <w:tcPr>
            <w:tcW w:w="8930" w:type="dxa"/>
          </w:tcPr>
          <w:p w14:paraId="45CF80FC" w14:textId="6F252422" w:rsidR="00052F27" w:rsidRPr="00177E9A" w:rsidRDefault="00052F27" w:rsidP="00052F27">
            <w:pPr>
              <w:rPr>
                <w:b/>
                <w:i/>
                <w:sz w:val="18"/>
                <w:u w:val="single"/>
                <w:lang w:val="en-GB"/>
              </w:rPr>
            </w:pPr>
            <w:r w:rsidRPr="00177E9A">
              <w:rPr>
                <w:b/>
                <w:i/>
                <w:sz w:val="18"/>
                <w:u w:val="single"/>
                <w:lang w:val="en-GB"/>
              </w:rPr>
              <w:t>Way forward – General</w:t>
            </w:r>
          </w:p>
          <w:p w14:paraId="44942913" w14:textId="77777777" w:rsidR="00052F27" w:rsidRPr="00177E9A" w:rsidRDefault="00052F27" w:rsidP="00052F27">
            <w:pPr>
              <w:pStyle w:val="ListParagraph"/>
              <w:numPr>
                <w:ilvl w:val="0"/>
                <w:numId w:val="39"/>
              </w:numPr>
              <w:ind w:left="1080"/>
              <w:rPr>
                <w:i/>
                <w:sz w:val="18"/>
              </w:rPr>
            </w:pPr>
            <w:r w:rsidRPr="00177E9A">
              <w:rPr>
                <w:i/>
                <w:sz w:val="18"/>
                <w:lang w:val="en-GB"/>
              </w:rPr>
              <w:t>In the RAN4# 88 meeting, companies are encouraged to check the agreements listed in background page and consolidate the common RAN4 understanding on following time units</w:t>
            </w:r>
          </w:p>
          <w:p w14:paraId="02F89C77" w14:textId="77777777" w:rsidR="00052F27" w:rsidRPr="00177E9A" w:rsidRDefault="00052F27" w:rsidP="00052F27">
            <w:pPr>
              <w:numPr>
                <w:ilvl w:val="1"/>
                <w:numId w:val="31"/>
              </w:numPr>
              <w:tabs>
                <w:tab w:val="clear" w:pos="1440"/>
                <w:tab w:val="num" w:pos="2160"/>
              </w:tabs>
              <w:ind w:left="2160"/>
              <w:rPr>
                <w:i/>
                <w:sz w:val="18"/>
              </w:rPr>
            </w:pPr>
            <w:r w:rsidRPr="00177E9A">
              <w:rPr>
                <w:i/>
                <w:sz w:val="18"/>
              </w:rPr>
              <w:t>Transition time of BWP switch (In RAN1 agreement in Annex A)</w:t>
            </w:r>
          </w:p>
          <w:p w14:paraId="16973D8D" w14:textId="77777777" w:rsidR="00052F27" w:rsidRPr="00177E9A" w:rsidRDefault="00052F27" w:rsidP="00052F27">
            <w:pPr>
              <w:numPr>
                <w:ilvl w:val="1"/>
                <w:numId w:val="31"/>
              </w:numPr>
              <w:tabs>
                <w:tab w:val="clear" w:pos="1440"/>
                <w:tab w:val="num" w:pos="2160"/>
              </w:tabs>
              <w:ind w:left="2160"/>
              <w:rPr>
                <w:i/>
                <w:sz w:val="18"/>
              </w:rPr>
            </w:pPr>
            <w:r w:rsidRPr="00177E9A">
              <w:rPr>
                <w:i/>
                <w:sz w:val="18"/>
                <w:lang w:val="en-GB"/>
              </w:rPr>
              <w:t xml:space="preserve">BWP switching delay (in RAN4 reply LS </w:t>
            </w:r>
            <w:r w:rsidRPr="00177E9A">
              <w:rPr>
                <w:i/>
                <w:sz w:val="18"/>
              </w:rPr>
              <w:t>R4-1803283</w:t>
            </w:r>
            <w:r w:rsidRPr="00177E9A">
              <w:rPr>
                <w:i/>
                <w:sz w:val="18"/>
                <w:lang w:val="en-GB"/>
              </w:rPr>
              <w:t>)</w:t>
            </w:r>
          </w:p>
          <w:p w14:paraId="4321062B" w14:textId="77777777" w:rsidR="00052F27" w:rsidRPr="00177E9A" w:rsidRDefault="00052F27" w:rsidP="00052F27">
            <w:pPr>
              <w:numPr>
                <w:ilvl w:val="1"/>
                <w:numId w:val="31"/>
              </w:numPr>
              <w:tabs>
                <w:tab w:val="clear" w:pos="1440"/>
                <w:tab w:val="num" w:pos="2160"/>
              </w:tabs>
              <w:ind w:left="2160"/>
              <w:rPr>
                <w:i/>
                <w:sz w:val="18"/>
              </w:rPr>
            </w:pPr>
            <w:r w:rsidRPr="00177E9A">
              <w:rPr>
                <w:i/>
                <w:sz w:val="18"/>
                <w:lang w:val="en-GB"/>
              </w:rPr>
              <w:t>Interruption duration due to BWP switching (in RAN4 WF 4-1805540)</w:t>
            </w:r>
          </w:p>
          <w:p w14:paraId="64F67616" w14:textId="77777777" w:rsidR="00052F27" w:rsidRPr="00177E9A" w:rsidRDefault="00052F27" w:rsidP="00052F27">
            <w:pPr>
              <w:ind w:left="360" w:firstLine="720"/>
              <w:rPr>
                <w:i/>
                <w:sz w:val="18"/>
              </w:rPr>
            </w:pPr>
            <w:r w:rsidRPr="00177E9A">
              <w:rPr>
                <w:i/>
                <w:sz w:val="18"/>
                <w:lang w:val="en-GB"/>
              </w:rPr>
              <w:t>and how the corresponding UE actions are concluded in above time unites, e.g.,</w:t>
            </w:r>
          </w:p>
          <w:p w14:paraId="5E1D1B5B" w14:textId="77777777" w:rsidR="00052F27" w:rsidRPr="00177E9A" w:rsidRDefault="00052F27" w:rsidP="00052F27">
            <w:pPr>
              <w:numPr>
                <w:ilvl w:val="1"/>
                <w:numId w:val="32"/>
              </w:numPr>
              <w:tabs>
                <w:tab w:val="clear" w:pos="1440"/>
                <w:tab w:val="num" w:pos="2160"/>
              </w:tabs>
              <w:ind w:left="2160"/>
              <w:rPr>
                <w:i/>
                <w:sz w:val="18"/>
              </w:rPr>
            </w:pPr>
            <w:r w:rsidRPr="00177E9A">
              <w:rPr>
                <w:i/>
                <w:sz w:val="18"/>
                <w:lang w:val="en-GB"/>
              </w:rPr>
              <w:t>DCI decoding</w:t>
            </w:r>
          </w:p>
          <w:p w14:paraId="1DAF6B72" w14:textId="77777777" w:rsidR="00052F27" w:rsidRPr="00177E9A" w:rsidRDefault="00052F27" w:rsidP="00052F27">
            <w:pPr>
              <w:numPr>
                <w:ilvl w:val="1"/>
                <w:numId w:val="32"/>
              </w:numPr>
              <w:tabs>
                <w:tab w:val="clear" w:pos="1440"/>
                <w:tab w:val="num" w:pos="2160"/>
              </w:tabs>
              <w:ind w:left="2160"/>
              <w:rPr>
                <w:i/>
                <w:sz w:val="18"/>
              </w:rPr>
            </w:pPr>
            <w:r w:rsidRPr="00177E9A">
              <w:rPr>
                <w:i/>
                <w:sz w:val="18"/>
              </w:rPr>
              <w:t>RF/BB parameter calculating and loading</w:t>
            </w:r>
          </w:p>
          <w:p w14:paraId="6DB9B1C7" w14:textId="77777777" w:rsidR="00052F27" w:rsidRPr="00177E9A" w:rsidRDefault="00052F27" w:rsidP="00052F27">
            <w:pPr>
              <w:numPr>
                <w:ilvl w:val="1"/>
                <w:numId w:val="32"/>
              </w:numPr>
              <w:tabs>
                <w:tab w:val="clear" w:pos="1440"/>
                <w:tab w:val="num" w:pos="2160"/>
              </w:tabs>
              <w:ind w:left="2160"/>
              <w:rPr>
                <w:i/>
                <w:sz w:val="18"/>
              </w:rPr>
            </w:pPr>
            <w:r w:rsidRPr="00177E9A">
              <w:rPr>
                <w:i/>
                <w:sz w:val="18"/>
              </w:rPr>
              <w:t xml:space="preserve">Applying the new parameters </w:t>
            </w:r>
          </w:p>
          <w:p w14:paraId="07E6166F" w14:textId="77777777" w:rsidR="00052F27" w:rsidRPr="00177E9A" w:rsidRDefault="00052F27" w:rsidP="00052F27">
            <w:pPr>
              <w:pStyle w:val="ListParagraph"/>
              <w:numPr>
                <w:ilvl w:val="0"/>
                <w:numId w:val="39"/>
              </w:numPr>
              <w:tabs>
                <w:tab w:val="num" w:pos="1440"/>
              </w:tabs>
              <w:ind w:left="1080"/>
              <w:rPr>
                <w:i/>
                <w:sz w:val="18"/>
              </w:rPr>
            </w:pPr>
            <w:r w:rsidRPr="00177E9A">
              <w:rPr>
                <w:i/>
                <w:sz w:val="18"/>
              </w:rPr>
              <w:t>Depending on the conclusions, RAN4 identifies if any update of the RAN1/RAN4 agreement is needed</w:t>
            </w:r>
          </w:p>
          <w:p w14:paraId="20F74C9C" w14:textId="77777777" w:rsidR="00052F27" w:rsidRPr="00177E9A" w:rsidRDefault="00052F27" w:rsidP="00052F27">
            <w:pPr>
              <w:ind w:left="1440"/>
              <w:rPr>
                <w:i/>
                <w:sz w:val="18"/>
              </w:rPr>
            </w:pPr>
            <w:r w:rsidRPr="00177E9A">
              <w:rPr>
                <w:i/>
                <w:noProof/>
              </w:rPr>
              <w:drawing>
                <wp:inline distT="0" distB="0" distL="0" distR="0" wp14:anchorId="421DC70A" wp14:editId="0B69A680">
                  <wp:extent cx="4362450" cy="12646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6163" cy="1265677"/>
                          </a:xfrm>
                          <a:prstGeom prst="rect">
                            <a:avLst/>
                          </a:prstGeom>
                          <a:noFill/>
                          <a:ln>
                            <a:noFill/>
                          </a:ln>
                        </pic:spPr>
                      </pic:pic>
                    </a:graphicData>
                  </a:graphic>
                </wp:inline>
              </w:drawing>
            </w:r>
          </w:p>
          <w:p w14:paraId="4A42BD8F" w14:textId="77777777" w:rsidR="00052F27" w:rsidRPr="00177E9A" w:rsidRDefault="00052F27" w:rsidP="00052F27">
            <w:pPr>
              <w:rPr>
                <w:b/>
                <w:i/>
                <w:sz w:val="18"/>
                <w:u w:val="single"/>
              </w:rPr>
            </w:pPr>
            <w:r w:rsidRPr="00177E9A">
              <w:rPr>
                <w:b/>
                <w:i/>
                <w:sz w:val="18"/>
                <w:u w:val="single"/>
              </w:rPr>
              <w:t>Way forward – Delay</w:t>
            </w:r>
          </w:p>
          <w:p w14:paraId="7D6EFC53" w14:textId="77777777" w:rsidR="00052F27" w:rsidRPr="00177E9A" w:rsidRDefault="00052F27" w:rsidP="00052F27">
            <w:pPr>
              <w:pStyle w:val="ListParagraph"/>
              <w:numPr>
                <w:ilvl w:val="0"/>
                <w:numId w:val="39"/>
              </w:numPr>
              <w:ind w:left="1080"/>
              <w:rPr>
                <w:i/>
                <w:sz w:val="18"/>
              </w:rPr>
            </w:pPr>
            <w:r w:rsidRPr="00177E9A">
              <w:rPr>
                <w:i/>
                <w:sz w:val="18"/>
                <w:lang w:val="en-GB"/>
              </w:rPr>
              <w:t>Agreement during online session</w:t>
            </w:r>
          </w:p>
          <w:p w14:paraId="25D2F324" w14:textId="77777777" w:rsidR="00052F27" w:rsidRPr="00177E9A" w:rsidRDefault="00052F27" w:rsidP="00052F27">
            <w:pPr>
              <w:numPr>
                <w:ilvl w:val="1"/>
                <w:numId w:val="38"/>
              </w:numPr>
              <w:ind w:left="2160"/>
              <w:rPr>
                <w:i/>
                <w:sz w:val="18"/>
              </w:rPr>
            </w:pPr>
            <w:r w:rsidRPr="00177E9A">
              <w:rPr>
                <w:i/>
                <w:sz w:val="18"/>
                <w:lang w:val="en-GB"/>
              </w:rPr>
              <w:t>BWP switch delay requirement is specified in the unit of slot of the serving cell, if the requirement is defined</w:t>
            </w:r>
          </w:p>
          <w:p w14:paraId="28C670A4" w14:textId="77777777" w:rsidR="00052F27" w:rsidRPr="00177E9A" w:rsidRDefault="00052F27" w:rsidP="00052F27">
            <w:pPr>
              <w:numPr>
                <w:ilvl w:val="1"/>
                <w:numId w:val="38"/>
              </w:numPr>
              <w:tabs>
                <w:tab w:val="clear" w:pos="1800"/>
                <w:tab w:val="num" w:pos="2160"/>
              </w:tabs>
              <w:ind w:left="2160"/>
              <w:rPr>
                <w:i/>
                <w:sz w:val="18"/>
              </w:rPr>
            </w:pPr>
            <w:r w:rsidRPr="00177E9A">
              <w:rPr>
                <w:i/>
                <w:sz w:val="18"/>
                <w:lang w:val="en-GB"/>
              </w:rPr>
              <w:lastRenderedPageBreak/>
              <w:t>The reference SCS when SCS changes from SCS1 to SCS2 is the lager SCS</w:t>
            </w:r>
          </w:p>
          <w:p w14:paraId="5FDBFEC5" w14:textId="77777777" w:rsidR="00052F27" w:rsidRPr="00177E9A" w:rsidRDefault="00052F27" w:rsidP="00052F27">
            <w:pPr>
              <w:pStyle w:val="ListParagraph"/>
              <w:numPr>
                <w:ilvl w:val="0"/>
                <w:numId w:val="39"/>
              </w:numPr>
              <w:ind w:left="1080"/>
              <w:rPr>
                <w:i/>
                <w:sz w:val="18"/>
              </w:rPr>
            </w:pPr>
            <w:r w:rsidRPr="00177E9A">
              <w:rPr>
                <w:i/>
                <w:sz w:val="18"/>
                <w:lang w:val="en-GB"/>
              </w:rPr>
              <w:t>FFS whether to allow additional BWP switching delay for UE channel estimation</w:t>
            </w:r>
          </w:p>
          <w:p w14:paraId="15C9B871" w14:textId="77777777" w:rsidR="00052F27" w:rsidRPr="00177E9A" w:rsidRDefault="00052F27" w:rsidP="00052F27">
            <w:pPr>
              <w:pStyle w:val="ListParagraph"/>
              <w:numPr>
                <w:ilvl w:val="0"/>
                <w:numId w:val="39"/>
              </w:numPr>
              <w:ind w:left="1080"/>
              <w:rPr>
                <w:i/>
                <w:sz w:val="18"/>
              </w:rPr>
            </w:pPr>
            <w:r w:rsidRPr="00177E9A">
              <w:rPr>
                <w:i/>
                <w:sz w:val="18"/>
                <w:lang w:val="en-GB"/>
              </w:rPr>
              <w:t>Determine in the next meeting the BWP switching delay when only baseband parameters (including DL and UL) are involved</w:t>
            </w:r>
          </w:p>
          <w:p w14:paraId="76B5779A" w14:textId="77777777" w:rsidR="00052F27" w:rsidRPr="00177E9A" w:rsidRDefault="00052F27" w:rsidP="00052F27">
            <w:pPr>
              <w:numPr>
                <w:ilvl w:val="1"/>
                <w:numId w:val="38"/>
              </w:numPr>
              <w:tabs>
                <w:tab w:val="clear" w:pos="1800"/>
                <w:tab w:val="num" w:pos="2160"/>
              </w:tabs>
              <w:ind w:left="2160"/>
              <w:rPr>
                <w:i/>
                <w:sz w:val="18"/>
              </w:rPr>
            </w:pPr>
            <w:r w:rsidRPr="00177E9A">
              <w:rPr>
                <w:i/>
                <w:sz w:val="18"/>
                <w:lang w:val="en-GB"/>
              </w:rPr>
              <w:t>Option 1: Same as the delay needed for the BWP switching with RF re-tuning</w:t>
            </w:r>
          </w:p>
          <w:p w14:paraId="2ABA43C3" w14:textId="77777777" w:rsidR="00052F27" w:rsidRPr="00177E9A" w:rsidRDefault="00052F27" w:rsidP="00052F27">
            <w:pPr>
              <w:numPr>
                <w:ilvl w:val="1"/>
                <w:numId w:val="38"/>
              </w:numPr>
              <w:tabs>
                <w:tab w:val="clear" w:pos="1800"/>
                <w:tab w:val="num" w:pos="2160"/>
              </w:tabs>
              <w:ind w:left="2160"/>
              <w:rPr>
                <w:i/>
                <w:sz w:val="18"/>
              </w:rPr>
            </w:pPr>
            <w:r w:rsidRPr="00177E9A">
              <w:rPr>
                <w:i/>
                <w:sz w:val="18"/>
                <w:lang w:val="en-GB"/>
              </w:rPr>
              <w:t>Option 2: Same as the delay needed for the BWP switching with SCS change only</w:t>
            </w:r>
          </w:p>
          <w:p w14:paraId="46C64A35" w14:textId="77777777" w:rsidR="00052F27" w:rsidRPr="00177E9A" w:rsidRDefault="00052F27" w:rsidP="00052F27">
            <w:pPr>
              <w:rPr>
                <w:b/>
                <w:i/>
                <w:sz w:val="18"/>
                <w:u w:val="single"/>
              </w:rPr>
            </w:pPr>
            <w:r w:rsidRPr="00177E9A">
              <w:rPr>
                <w:b/>
                <w:i/>
                <w:sz w:val="18"/>
                <w:u w:val="single"/>
              </w:rPr>
              <w:t>Way forward – Interruptions</w:t>
            </w:r>
          </w:p>
          <w:p w14:paraId="4019C033" w14:textId="77777777" w:rsidR="00052F27" w:rsidRPr="00177E9A" w:rsidRDefault="00052F27" w:rsidP="00052F27">
            <w:pPr>
              <w:pStyle w:val="ListParagraph"/>
              <w:numPr>
                <w:ilvl w:val="0"/>
                <w:numId w:val="39"/>
              </w:numPr>
              <w:ind w:left="1080"/>
              <w:rPr>
                <w:i/>
                <w:sz w:val="18"/>
              </w:rPr>
            </w:pPr>
            <w:r w:rsidRPr="00177E9A">
              <w:rPr>
                <w:i/>
                <w:sz w:val="18"/>
                <w:lang w:val="en-GB"/>
              </w:rPr>
              <w:t>Interruption occurs other serving cells for scenarios 1, 2, 3</w:t>
            </w:r>
          </w:p>
          <w:p w14:paraId="36EF426A" w14:textId="77777777" w:rsidR="00052F27" w:rsidRPr="00177E9A" w:rsidRDefault="00052F27" w:rsidP="00052F27">
            <w:pPr>
              <w:numPr>
                <w:ilvl w:val="1"/>
                <w:numId w:val="38"/>
              </w:numPr>
              <w:tabs>
                <w:tab w:val="clear" w:pos="1800"/>
                <w:tab w:val="num" w:pos="2160"/>
              </w:tabs>
              <w:ind w:left="2160"/>
              <w:rPr>
                <w:i/>
                <w:sz w:val="18"/>
              </w:rPr>
            </w:pPr>
            <w:r w:rsidRPr="00177E9A">
              <w:rPr>
                <w:i/>
                <w:sz w:val="18"/>
                <w:lang w:val="en-GB"/>
              </w:rPr>
              <w:t>FFS whether interruption can be avoided for those serving cells in different FR to the BWP-switching cell, if UE claimed the supporting of per-FR gap</w:t>
            </w:r>
          </w:p>
          <w:p w14:paraId="13D3A6D7" w14:textId="77777777" w:rsidR="00052F27" w:rsidRPr="00177E9A" w:rsidRDefault="00052F27" w:rsidP="00052F27">
            <w:pPr>
              <w:numPr>
                <w:ilvl w:val="1"/>
                <w:numId w:val="38"/>
              </w:numPr>
              <w:tabs>
                <w:tab w:val="clear" w:pos="1800"/>
                <w:tab w:val="num" w:pos="2160"/>
              </w:tabs>
              <w:ind w:left="2160"/>
              <w:rPr>
                <w:i/>
                <w:sz w:val="18"/>
              </w:rPr>
            </w:pPr>
            <w:r w:rsidRPr="00177E9A">
              <w:rPr>
                <w:i/>
                <w:sz w:val="18"/>
              </w:rPr>
              <w:t xml:space="preserve">FFS the interruption duration </w:t>
            </w:r>
          </w:p>
          <w:p w14:paraId="39B440C6" w14:textId="77777777" w:rsidR="00052F27" w:rsidRPr="00177E9A" w:rsidRDefault="00052F27" w:rsidP="00052F27">
            <w:pPr>
              <w:numPr>
                <w:ilvl w:val="2"/>
                <w:numId w:val="38"/>
              </w:numPr>
              <w:tabs>
                <w:tab w:val="clear" w:pos="2520"/>
                <w:tab w:val="num" w:pos="2880"/>
              </w:tabs>
              <w:ind w:left="2880"/>
              <w:rPr>
                <w:i/>
                <w:sz w:val="18"/>
              </w:rPr>
            </w:pPr>
            <w:r w:rsidRPr="00177E9A">
              <w:rPr>
                <w:i/>
                <w:sz w:val="18"/>
              </w:rPr>
              <w:t xml:space="preserve">Option A: the same switching delay. </w:t>
            </w:r>
          </w:p>
          <w:p w14:paraId="5325CE62" w14:textId="77777777" w:rsidR="00052F27" w:rsidRPr="00177E9A" w:rsidRDefault="00052F27" w:rsidP="00052F27">
            <w:pPr>
              <w:numPr>
                <w:ilvl w:val="2"/>
                <w:numId w:val="38"/>
              </w:numPr>
              <w:tabs>
                <w:tab w:val="clear" w:pos="2520"/>
                <w:tab w:val="num" w:pos="2880"/>
              </w:tabs>
              <w:ind w:left="2880"/>
              <w:rPr>
                <w:i/>
                <w:sz w:val="18"/>
              </w:rPr>
            </w:pPr>
            <w:r w:rsidRPr="00177E9A">
              <w:rPr>
                <w:i/>
                <w:sz w:val="18"/>
              </w:rPr>
              <w:t>Option B: re-use the conclusion in Scell activation</w:t>
            </w:r>
          </w:p>
          <w:p w14:paraId="6C6B795D" w14:textId="77777777" w:rsidR="00052F27" w:rsidRPr="00177E9A" w:rsidRDefault="00052F27" w:rsidP="00052F27">
            <w:pPr>
              <w:numPr>
                <w:ilvl w:val="2"/>
                <w:numId w:val="38"/>
              </w:numPr>
              <w:tabs>
                <w:tab w:val="clear" w:pos="2520"/>
                <w:tab w:val="num" w:pos="2880"/>
              </w:tabs>
              <w:ind w:left="2880"/>
              <w:rPr>
                <w:i/>
                <w:sz w:val="18"/>
              </w:rPr>
            </w:pPr>
            <w:r w:rsidRPr="00177E9A">
              <w:rPr>
                <w:i/>
                <w:sz w:val="18"/>
              </w:rPr>
              <w:t>Option C: other values</w:t>
            </w:r>
          </w:p>
          <w:p w14:paraId="721BD6F9" w14:textId="77777777" w:rsidR="00052F27" w:rsidRPr="00177E9A" w:rsidRDefault="00052F27" w:rsidP="00052F27">
            <w:pPr>
              <w:pStyle w:val="ListParagraph"/>
              <w:numPr>
                <w:ilvl w:val="0"/>
                <w:numId w:val="39"/>
              </w:numPr>
              <w:ind w:left="1080"/>
              <w:rPr>
                <w:i/>
                <w:sz w:val="18"/>
              </w:rPr>
            </w:pPr>
            <w:r w:rsidRPr="00177E9A">
              <w:rPr>
                <w:i/>
                <w:sz w:val="18"/>
              </w:rPr>
              <w:t xml:space="preserve">FFS </w:t>
            </w:r>
            <w:r w:rsidRPr="00177E9A">
              <w:rPr>
                <w:i/>
                <w:sz w:val="18"/>
                <w:lang w:val="en-GB"/>
              </w:rPr>
              <w:t xml:space="preserve">whether </w:t>
            </w:r>
            <w:r w:rsidRPr="00177E9A">
              <w:rPr>
                <w:i/>
                <w:sz w:val="18"/>
              </w:rPr>
              <w:t>Interruption occurs for scenario 4 and if so, what the victim cells are.</w:t>
            </w:r>
          </w:p>
          <w:p w14:paraId="311307C4" w14:textId="77777777" w:rsidR="00052F27" w:rsidRPr="00177E9A" w:rsidRDefault="00052F27" w:rsidP="00052F27">
            <w:pPr>
              <w:pStyle w:val="ListParagraph"/>
              <w:numPr>
                <w:ilvl w:val="0"/>
                <w:numId w:val="39"/>
              </w:numPr>
              <w:ind w:left="1080"/>
              <w:rPr>
                <w:sz w:val="18"/>
              </w:rPr>
            </w:pPr>
            <w:r w:rsidRPr="00177E9A">
              <w:rPr>
                <w:i/>
                <w:sz w:val="18"/>
              </w:rPr>
              <w:t xml:space="preserve">FFS </w:t>
            </w:r>
            <w:r w:rsidRPr="00177E9A">
              <w:rPr>
                <w:i/>
                <w:sz w:val="18"/>
                <w:lang w:val="en-GB"/>
              </w:rPr>
              <w:t xml:space="preserve">whether </w:t>
            </w:r>
            <w:r w:rsidRPr="00177E9A">
              <w:rPr>
                <w:i/>
                <w:sz w:val="18"/>
              </w:rPr>
              <w:t>any baseband parameters in the BWP configuration in TS38.331 will cause interruption and if so, what the victim cells are.</w:t>
            </w:r>
          </w:p>
          <w:p w14:paraId="3B27B1AF" w14:textId="77777777" w:rsidR="00052F27" w:rsidRPr="00052F27" w:rsidRDefault="00052F27" w:rsidP="00052F27"/>
        </w:tc>
      </w:tr>
    </w:tbl>
    <w:p w14:paraId="4132D363" w14:textId="77777777" w:rsidR="00052F27" w:rsidRDefault="00052F27" w:rsidP="00052F27"/>
    <w:p w14:paraId="162BBE71" w14:textId="359D9A98" w:rsidR="00052F27" w:rsidRPr="00052F27" w:rsidRDefault="00052F27" w:rsidP="000D199F">
      <w:r>
        <w:t>In RAN1#91 meeting, RAN1 agreed the following about BWP switching time (Transition time of BWP switch):</w:t>
      </w:r>
    </w:p>
    <w:tbl>
      <w:tblPr>
        <w:tblW w:w="0" w:type="auto"/>
        <w:tblInd w:w="56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31"/>
      </w:tblGrid>
      <w:tr w:rsidR="00052F27" w14:paraId="3D6E5CCE" w14:textId="77777777" w:rsidTr="00052F27">
        <w:trPr>
          <w:trHeight w:val="3593"/>
        </w:trPr>
        <w:tc>
          <w:tcPr>
            <w:tcW w:w="8931" w:type="dxa"/>
          </w:tcPr>
          <w:p w14:paraId="7A05A578" w14:textId="2A2FFACD" w:rsidR="00052F27" w:rsidRPr="00052F27" w:rsidRDefault="00052F27" w:rsidP="00052F27">
            <w:pPr>
              <w:numPr>
                <w:ilvl w:val="0"/>
                <w:numId w:val="34"/>
              </w:numPr>
              <w:tabs>
                <w:tab w:val="num" w:pos="720"/>
              </w:tabs>
              <w:rPr>
                <w:i/>
                <w:sz w:val="18"/>
              </w:rPr>
            </w:pPr>
            <w:r w:rsidRPr="00052F27">
              <w:rPr>
                <w:i/>
                <w:sz w:val="18"/>
                <w:highlight w:val="green"/>
              </w:rPr>
              <w:t>Agreements</w:t>
            </w:r>
            <w:r w:rsidRPr="00052F27">
              <w:rPr>
                <w:b/>
                <w:bCs/>
                <w:i/>
                <w:sz w:val="18"/>
                <w:highlight w:val="green"/>
              </w:rPr>
              <w:t>:</w:t>
            </w:r>
          </w:p>
          <w:p w14:paraId="45A9E959" w14:textId="77777777" w:rsidR="00052F27" w:rsidRPr="00052F27" w:rsidRDefault="00052F27" w:rsidP="00052F27">
            <w:pPr>
              <w:numPr>
                <w:ilvl w:val="1"/>
                <w:numId w:val="34"/>
              </w:numPr>
              <w:rPr>
                <w:i/>
                <w:sz w:val="18"/>
              </w:rPr>
            </w:pPr>
            <w:r w:rsidRPr="00052F27">
              <w:rPr>
                <w:i/>
                <w:sz w:val="18"/>
              </w:rPr>
              <w:t xml:space="preserve">A UE is </w:t>
            </w:r>
            <w:r w:rsidRPr="00052F27">
              <w:rPr>
                <w:i/>
                <w:sz w:val="18"/>
                <w:u w:val="single"/>
              </w:rPr>
              <w:t>not expected to receive DL signals or transmit UL signals during the transition time</w:t>
            </w:r>
            <w:r w:rsidRPr="00052F27">
              <w:rPr>
                <w:i/>
                <w:sz w:val="18"/>
              </w:rPr>
              <w:t xml:space="preserve"> of active DL or UL BWP switch</w:t>
            </w:r>
          </w:p>
          <w:p w14:paraId="2269E5CF" w14:textId="6CE51660" w:rsidR="00052F27" w:rsidRDefault="00052F27" w:rsidP="00052F27">
            <w:pPr>
              <w:numPr>
                <w:ilvl w:val="2"/>
                <w:numId w:val="34"/>
              </w:numPr>
              <w:rPr>
                <w:i/>
                <w:sz w:val="18"/>
              </w:rPr>
            </w:pPr>
            <w:r w:rsidRPr="00052F27">
              <w:rPr>
                <w:i/>
                <w:sz w:val="18"/>
              </w:rPr>
              <w:t xml:space="preserve">For DCI-based active BWP switch, from RAN1 perspective, the </w:t>
            </w:r>
            <w:r w:rsidRPr="00052F27">
              <w:rPr>
                <w:i/>
                <w:sz w:val="18"/>
                <w:u w:val="single"/>
              </w:rPr>
              <w:t xml:space="preserve">transition time of active DL or UL BWP switch </w:t>
            </w:r>
            <w:r w:rsidRPr="00052F27">
              <w:rPr>
                <w:i/>
                <w:sz w:val="18"/>
              </w:rPr>
              <w:t>is the time duration from the end of last OFDM symbol of the PDCCH carrying the active BWP switch DCI till the beginning of a slot indicated by K0 in the active DL BWP switch DCI or K2 in the active UL BWP switch DCI</w:t>
            </w:r>
          </w:p>
          <w:p w14:paraId="15BE37C6" w14:textId="265BBBF7" w:rsidR="00052F27" w:rsidRPr="00AE6699" w:rsidRDefault="00AE6699" w:rsidP="00052F27">
            <w:pPr>
              <w:numPr>
                <w:ilvl w:val="2"/>
                <w:numId w:val="34"/>
              </w:numPr>
              <w:rPr>
                <w:i/>
                <w:sz w:val="18"/>
              </w:rPr>
            </w:pPr>
            <w:r w:rsidRPr="00052F27">
              <w:rPr>
                <w:i/>
                <w:sz w:val="18"/>
              </w:rPr>
              <w:t>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DL signals or transmit UL signals in the default DL BWP for paired spectrum or the default DL or UL BWP for unpaired spectrum</w:t>
            </w:r>
          </w:p>
        </w:tc>
      </w:tr>
    </w:tbl>
    <w:p w14:paraId="721B484E" w14:textId="7BADD654" w:rsidR="0075523E" w:rsidRDefault="0075523E" w:rsidP="000D199F"/>
    <w:p w14:paraId="538EA6D8" w14:textId="17261CDA" w:rsidR="004266EC" w:rsidRDefault="004266EC" w:rsidP="00974371">
      <w:pPr>
        <w:rPr>
          <w:i/>
          <w:noProof/>
          <w:sz w:val="18"/>
        </w:rPr>
      </w:pPr>
      <w:r>
        <w:rPr>
          <w:lang w:val="en-GB"/>
        </w:rPr>
        <w:t xml:space="preserve">In RAN4#86, RAN4 agreed BWP switching delays consisting of RF and BB delay for </w:t>
      </w:r>
      <w:r w:rsidR="00C86FC9">
        <w:rPr>
          <w:lang w:val="en-GB"/>
        </w:rPr>
        <w:t xml:space="preserve">four different scenarios </w:t>
      </w:r>
      <w:r w:rsidR="005E4FB1">
        <w:rPr>
          <w:lang w:val="en-GB"/>
        </w:rPr>
        <w:t xml:space="preserve">[2] </w:t>
      </w:r>
      <w:r w:rsidR="00C86FC9">
        <w:rPr>
          <w:lang w:val="en-GB"/>
        </w:rPr>
        <w:t>(BWP switching delay):</w:t>
      </w:r>
      <w:r w:rsidR="0075523E" w:rsidRPr="0075523E">
        <w:rPr>
          <w:i/>
          <w:noProof/>
          <w:sz w:val="18"/>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1"/>
      </w:tblGrid>
      <w:tr w:rsidR="00052F27" w14:paraId="55891EC3" w14:textId="77777777" w:rsidTr="00052F27">
        <w:trPr>
          <w:trHeight w:val="300"/>
        </w:trPr>
        <w:tc>
          <w:tcPr>
            <w:tcW w:w="8931" w:type="dxa"/>
          </w:tcPr>
          <w:p w14:paraId="6BD754E6" w14:textId="77777777" w:rsidR="00052F27" w:rsidRPr="00052F27" w:rsidRDefault="00052F27" w:rsidP="00052F27">
            <w:pPr>
              <w:numPr>
                <w:ilvl w:val="0"/>
                <w:numId w:val="25"/>
              </w:numPr>
              <w:tabs>
                <w:tab w:val="clear" w:pos="720"/>
                <w:tab w:val="num" w:pos="360"/>
              </w:tabs>
              <w:ind w:left="360"/>
              <w:rPr>
                <w:i/>
                <w:sz w:val="18"/>
              </w:rPr>
            </w:pPr>
            <w:r w:rsidRPr="00052F27">
              <w:rPr>
                <w:b/>
                <w:bCs/>
                <w:i/>
                <w:sz w:val="18"/>
                <w:lang w:val="en-GB"/>
              </w:rPr>
              <w:t>Scenario 1</w:t>
            </w:r>
            <w:r w:rsidRPr="00052F27">
              <w:rPr>
                <w:i/>
                <w:sz w:val="18"/>
                <w:lang w:val="en-GB"/>
              </w:rPr>
              <w:t>: The reconfiguration involves changing the center frequency of the BWP without changing its BW. The reconfiguration may or may not involve changing the SCS.</w:t>
            </w:r>
          </w:p>
          <w:p w14:paraId="3EE0EE45" w14:textId="77777777" w:rsidR="00052F27" w:rsidRPr="00052F27" w:rsidRDefault="00052F27" w:rsidP="00052F27">
            <w:pPr>
              <w:numPr>
                <w:ilvl w:val="0"/>
                <w:numId w:val="25"/>
              </w:numPr>
              <w:tabs>
                <w:tab w:val="clear" w:pos="720"/>
                <w:tab w:val="num" w:pos="360"/>
              </w:tabs>
              <w:ind w:left="360"/>
              <w:rPr>
                <w:i/>
                <w:sz w:val="18"/>
              </w:rPr>
            </w:pPr>
            <w:r w:rsidRPr="00052F27">
              <w:rPr>
                <w:b/>
                <w:bCs/>
                <w:i/>
                <w:sz w:val="18"/>
                <w:lang w:val="en-GB"/>
              </w:rPr>
              <w:t>Scenario 2</w:t>
            </w:r>
            <w:r w:rsidRPr="00052F27">
              <w:rPr>
                <w:i/>
                <w:sz w:val="18"/>
                <w:lang w:val="en-GB"/>
              </w:rPr>
              <w:t>: The reconfiguration involves changing the BW of the BWP without changing its center frequency. The reconfiguration may or may not involve changing the SCS.</w:t>
            </w:r>
          </w:p>
          <w:p w14:paraId="5621AA80" w14:textId="77777777" w:rsidR="00052F27" w:rsidRPr="00052F27" w:rsidRDefault="00052F27" w:rsidP="00052F27">
            <w:pPr>
              <w:numPr>
                <w:ilvl w:val="0"/>
                <w:numId w:val="25"/>
              </w:numPr>
              <w:tabs>
                <w:tab w:val="clear" w:pos="720"/>
                <w:tab w:val="num" w:pos="360"/>
              </w:tabs>
              <w:ind w:left="360"/>
              <w:rPr>
                <w:i/>
                <w:sz w:val="18"/>
              </w:rPr>
            </w:pPr>
            <w:r w:rsidRPr="00052F27">
              <w:rPr>
                <w:b/>
                <w:bCs/>
                <w:i/>
                <w:sz w:val="18"/>
                <w:lang w:val="en-GB"/>
              </w:rPr>
              <w:t>Scenario 3</w:t>
            </w:r>
            <w:r w:rsidRPr="00052F27">
              <w:rPr>
                <w:i/>
                <w:sz w:val="18"/>
                <w:lang w:val="en-GB"/>
              </w:rPr>
              <w:t>: The reconfiguration involves changing both the BW and the center frequency of the BWP. The reconfiguration may or may not involve changing the SCS.</w:t>
            </w:r>
          </w:p>
          <w:p w14:paraId="6496DDBE" w14:textId="77777777" w:rsidR="00052F27" w:rsidRPr="00052F27" w:rsidRDefault="00052F27" w:rsidP="00052F27">
            <w:pPr>
              <w:numPr>
                <w:ilvl w:val="0"/>
                <w:numId w:val="25"/>
              </w:numPr>
              <w:tabs>
                <w:tab w:val="clear" w:pos="720"/>
                <w:tab w:val="num" w:pos="360"/>
              </w:tabs>
              <w:ind w:left="360"/>
              <w:rPr>
                <w:i/>
                <w:sz w:val="18"/>
              </w:rPr>
            </w:pPr>
            <w:r w:rsidRPr="00052F27">
              <w:rPr>
                <w:b/>
                <w:bCs/>
                <w:i/>
                <w:sz w:val="18"/>
                <w:lang w:val="en-GB"/>
              </w:rPr>
              <w:t>Scenario 4</w:t>
            </w:r>
            <w:r w:rsidRPr="00052F27">
              <w:rPr>
                <w:i/>
                <w:sz w:val="18"/>
                <w:lang w:val="en-GB"/>
              </w:rPr>
              <w:t>: The reconfiguration involves changing only the SCS, where the center frequency and BW of the BWP remain unchanged.</w:t>
            </w:r>
          </w:p>
          <w:p w14:paraId="0AC5BBC9" w14:textId="24378F42" w:rsidR="00052F27" w:rsidRPr="00052F27" w:rsidRDefault="00052F27" w:rsidP="00052F27">
            <w:pPr>
              <w:pStyle w:val="Caption"/>
              <w:keepNext/>
              <w:numPr>
                <w:ilvl w:val="0"/>
                <w:numId w:val="25"/>
              </w:numPr>
              <w:tabs>
                <w:tab w:val="clear" w:pos="720"/>
                <w:tab w:val="num" w:pos="360"/>
              </w:tabs>
              <w:ind w:left="360"/>
            </w:pPr>
            <w:r w:rsidRPr="00052F27">
              <w:lastRenderedPageBreak/>
              <w:t xml:space="preserve">Table </w:t>
            </w:r>
            <w:r w:rsidR="0073092D">
              <w:fldChar w:fldCharType="begin"/>
            </w:r>
            <w:r w:rsidR="0073092D">
              <w:instrText xml:space="preserve"> SEQ Table \* ARABIC </w:instrText>
            </w:r>
            <w:r w:rsidR="0073092D">
              <w:fldChar w:fldCharType="separate"/>
            </w:r>
            <w:r w:rsidR="0023796F">
              <w:rPr>
                <w:noProof/>
              </w:rPr>
              <w:t>1</w:t>
            </w:r>
            <w:r w:rsidR="0073092D">
              <w:rPr>
                <w:noProof/>
              </w:rPr>
              <w:fldChar w:fldCharType="end"/>
            </w:r>
            <w:r w:rsidRPr="00052F27">
              <w:t>: BWP switching delays.</w:t>
            </w:r>
          </w:p>
          <w:p w14:paraId="5EC1C7DD" w14:textId="77777777" w:rsidR="00052F27" w:rsidRPr="00052F27" w:rsidRDefault="00052F27" w:rsidP="00052F27">
            <w:pPr>
              <w:pStyle w:val="ListParagraph"/>
              <w:ind w:left="360"/>
              <w:jc w:val="center"/>
              <w:rPr>
                <w:i/>
              </w:rPr>
            </w:pPr>
            <w:r w:rsidRPr="00052F27">
              <w:rPr>
                <w:i/>
                <w:noProof/>
              </w:rPr>
              <w:drawing>
                <wp:inline distT="0" distB="0" distL="0" distR="0" wp14:anchorId="3DF2654C" wp14:editId="1724DC52">
                  <wp:extent cx="4467225" cy="15639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2005" cy="1583110"/>
                          </a:xfrm>
                          <a:prstGeom prst="rect">
                            <a:avLst/>
                          </a:prstGeom>
                          <a:noFill/>
                        </pic:spPr>
                      </pic:pic>
                    </a:graphicData>
                  </a:graphic>
                </wp:inline>
              </w:drawing>
            </w:r>
          </w:p>
          <w:p w14:paraId="4B1D4BD1" w14:textId="77777777" w:rsidR="00052F27" w:rsidRPr="00052F27" w:rsidRDefault="00052F27" w:rsidP="00052F27">
            <w:pPr>
              <w:pStyle w:val="Header"/>
              <w:tabs>
                <w:tab w:val="clear" w:pos="4153"/>
                <w:tab w:val="clear" w:pos="8306"/>
              </w:tabs>
              <w:ind w:left="360"/>
              <w:rPr>
                <w:i/>
                <w:sz w:val="18"/>
              </w:rPr>
            </w:pPr>
            <w:r w:rsidRPr="00052F27">
              <w:rPr>
                <w:i/>
                <w:sz w:val="18"/>
              </w:rPr>
              <w:t>Note: the numbers in the table are calculated from the end of the last symbol including the DCI indicating the BWP switch and until BB processing delay and RF transition time has been completed.</w:t>
            </w:r>
          </w:p>
          <w:p w14:paraId="41117382" w14:textId="77777777" w:rsidR="00052F27" w:rsidRPr="00052F27" w:rsidRDefault="00052F27" w:rsidP="00974371">
            <w:pPr>
              <w:rPr>
                <w:i/>
                <w:noProof/>
                <w:sz w:val="18"/>
                <w:lang w:val="en-GB"/>
              </w:rPr>
            </w:pPr>
          </w:p>
        </w:tc>
      </w:tr>
    </w:tbl>
    <w:p w14:paraId="65F6B8BA" w14:textId="5D2FDD35" w:rsidR="00052F27" w:rsidRPr="00052F27" w:rsidRDefault="00052F27" w:rsidP="00974371">
      <w:pPr>
        <w:rPr>
          <w:lang w:val="en-GB"/>
        </w:rPr>
      </w:pPr>
    </w:p>
    <w:p w14:paraId="72FF8707" w14:textId="1006A68E" w:rsidR="009B31F4" w:rsidRDefault="009B31F4" w:rsidP="009B31F4">
      <w:pPr>
        <w:pStyle w:val="RAN4H1"/>
      </w:pPr>
      <w:r>
        <w:t>BWP switching delay</w:t>
      </w:r>
    </w:p>
    <w:p w14:paraId="2E7C3A31" w14:textId="047D7A44" w:rsidR="00BA15D6" w:rsidRDefault="00BA15D6" w:rsidP="00177E9A">
      <w:pPr>
        <w:rPr>
          <w:lang w:val="en-GB"/>
        </w:rPr>
      </w:pPr>
      <w:r>
        <w:rPr>
          <w:lang w:val="en-GB"/>
        </w:rPr>
        <w:t xml:space="preserve">BWP switching delay is the delay on the cell where BWP is switched. As we have proposed already in the last meeting, in our view BWP switching delay requirement should be defined in a separate section in </w:t>
      </w:r>
      <w:r w:rsidR="003A7A47">
        <w:rPr>
          <w:lang w:val="en-GB"/>
        </w:rPr>
        <w:t xml:space="preserve">TS </w:t>
      </w:r>
      <w:r>
        <w:rPr>
          <w:lang w:val="en-GB"/>
        </w:rPr>
        <w:t>38.133.</w:t>
      </w:r>
    </w:p>
    <w:p w14:paraId="3A539DE3" w14:textId="5647D597" w:rsidR="003A7A47" w:rsidRDefault="003A7A47" w:rsidP="003A7A47">
      <w:pPr>
        <w:pStyle w:val="RAN4proposal"/>
        <w:rPr>
          <w:lang w:val="en-GB"/>
        </w:rPr>
      </w:pPr>
      <w:r>
        <w:rPr>
          <w:lang w:val="en-GB"/>
        </w:rPr>
        <w:t>BWP switching delay requirements are defined in a separate section in TS 38.133.</w:t>
      </w:r>
    </w:p>
    <w:p w14:paraId="286B3A45" w14:textId="2ABFE88A" w:rsidR="00177E9A" w:rsidRDefault="00082480" w:rsidP="00177E9A">
      <w:pPr>
        <w:rPr>
          <w:lang w:val="en-GB"/>
        </w:rPr>
      </w:pPr>
      <w:r>
        <w:rPr>
          <w:lang w:val="en-GB"/>
        </w:rPr>
        <w:t xml:space="preserve">Until now, the discussion about BWP switching </w:t>
      </w:r>
      <w:r w:rsidR="007E01E9">
        <w:rPr>
          <w:lang w:val="en-GB"/>
        </w:rPr>
        <w:t xml:space="preserve">requirements </w:t>
      </w:r>
      <w:r>
        <w:rPr>
          <w:lang w:val="en-GB"/>
        </w:rPr>
        <w:t xml:space="preserve">has been only </w:t>
      </w:r>
      <w:r w:rsidR="00BE49C6">
        <w:rPr>
          <w:lang w:val="en-GB"/>
        </w:rPr>
        <w:t>about</w:t>
      </w:r>
      <w:r>
        <w:rPr>
          <w:lang w:val="en-GB"/>
        </w:rPr>
        <w:t xml:space="preserve"> DCI-based and timer-based BWP switching which have been introduced by RAN1. However, RAN2 has now also introduced RRC-based BWP-switching</w:t>
      </w:r>
      <w:r w:rsidR="004D2F0E">
        <w:rPr>
          <w:lang w:val="en-GB"/>
        </w:rPr>
        <w:t xml:space="preserve">, </w:t>
      </w:r>
      <w:r w:rsidR="00682484">
        <w:rPr>
          <w:lang w:val="en-GB"/>
        </w:rPr>
        <w:t>which</w:t>
      </w:r>
      <w:r w:rsidR="007877A6">
        <w:rPr>
          <w:lang w:val="en-GB"/>
        </w:rPr>
        <w:t xml:space="preserve"> has not yet been discussed by RAN4</w:t>
      </w:r>
      <w:r w:rsidR="004D2F0E">
        <w:rPr>
          <w:lang w:val="en-GB"/>
        </w:rPr>
        <w:t>. All the details of RRC-based BWP switching are not clear in RAN2 yet, but</w:t>
      </w:r>
      <w:r w:rsidR="005F2C33">
        <w:rPr>
          <w:lang w:val="en-GB"/>
        </w:rPr>
        <w:t xml:space="preserve"> in </w:t>
      </w:r>
      <w:r w:rsidR="004D2F0E">
        <w:rPr>
          <w:lang w:val="en-GB"/>
        </w:rPr>
        <w:t>the end</w:t>
      </w:r>
      <w:r w:rsidR="005F2C33">
        <w:rPr>
          <w:lang w:val="en-GB"/>
        </w:rPr>
        <w:t>,</w:t>
      </w:r>
      <w:r w:rsidR="004D2F0E">
        <w:rPr>
          <w:lang w:val="en-GB"/>
        </w:rPr>
        <w:t xml:space="preserve"> RAN4 would need to define requirements also for RRC-based BWP switching.</w:t>
      </w:r>
    </w:p>
    <w:p w14:paraId="018021F1" w14:textId="3C59BD69" w:rsidR="004D2F0E" w:rsidRDefault="004D2F0E" w:rsidP="004D2F0E">
      <w:pPr>
        <w:pStyle w:val="RAN4observation0"/>
      </w:pPr>
      <w:r>
        <w:t>BWP switching requirements are needed for:</w:t>
      </w:r>
    </w:p>
    <w:p w14:paraId="32941918" w14:textId="4E7B998A" w:rsidR="004D2F0E" w:rsidRPr="004D2F0E" w:rsidRDefault="004D2F0E" w:rsidP="004D2F0E">
      <w:pPr>
        <w:pStyle w:val="ListParagraph"/>
        <w:numPr>
          <w:ilvl w:val="0"/>
          <w:numId w:val="39"/>
        </w:numPr>
        <w:rPr>
          <w:lang w:val="en-GB"/>
        </w:rPr>
      </w:pPr>
      <w:r w:rsidRPr="004D2F0E">
        <w:rPr>
          <w:lang w:val="en-GB"/>
        </w:rPr>
        <w:t>DCI-based BWP switching</w:t>
      </w:r>
    </w:p>
    <w:p w14:paraId="7B8E5AED" w14:textId="42419D87" w:rsidR="004D2F0E" w:rsidRPr="004D2F0E" w:rsidRDefault="004D2F0E" w:rsidP="004D2F0E">
      <w:pPr>
        <w:pStyle w:val="ListParagraph"/>
        <w:numPr>
          <w:ilvl w:val="0"/>
          <w:numId w:val="39"/>
        </w:numPr>
        <w:rPr>
          <w:lang w:val="en-GB"/>
        </w:rPr>
      </w:pPr>
      <w:r w:rsidRPr="004D2F0E">
        <w:rPr>
          <w:lang w:val="en-GB"/>
        </w:rPr>
        <w:t>Timer-based BWP switching</w:t>
      </w:r>
    </w:p>
    <w:p w14:paraId="75B227D3" w14:textId="5C071D16" w:rsidR="004D2F0E" w:rsidRDefault="004D2F0E" w:rsidP="004D2F0E">
      <w:pPr>
        <w:pStyle w:val="ListParagraph"/>
        <w:numPr>
          <w:ilvl w:val="0"/>
          <w:numId w:val="39"/>
        </w:numPr>
        <w:rPr>
          <w:lang w:val="en-GB"/>
        </w:rPr>
      </w:pPr>
      <w:r w:rsidRPr="004D2F0E">
        <w:rPr>
          <w:lang w:val="en-GB"/>
        </w:rPr>
        <w:t>RRC-based BWP switching</w:t>
      </w:r>
    </w:p>
    <w:p w14:paraId="17F3C9CF" w14:textId="2218672C" w:rsidR="004D2F0E" w:rsidRPr="004D2F0E" w:rsidRDefault="004D2F0E" w:rsidP="004D2F0E">
      <w:pPr>
        <w:rPr>
          <w:lang w:val="en-GB"/>
        </w:rPr>
      </w:pPr>
      <w:r>
        <w:rPr>
          <w:lang w:val="en-GB"/>
        </w:rPr>
        <w:t>In the following we analyse the delay requirements for different types of BWP switching separately.</w:t>
      </w:r>
    </w:p>
    <w:p w14:paraId="285B4E53" w14:textId="227E6893" w:rsidR="00BC2E7A" w:rsidRDefault="00BC2E7A" w:rsidP="00BC2E7A">
      <w:pPr>
        <w:pStyle w:val="RAN4H2"/>
      </w:pPr>
      <w:r>
        <w:t>DCI-</w:t>
      </w:r>
      <w:r w:rsidR="004D2F0E">
        <w:t xml:space="preserve"> and timer-</w:t>
      </w:r>
      <w:r>
        <w:t>based BWP switching</w:t>
      </w:r>
    </w:p>
    <w:p w14:paraId="5818E48E" w14:textId="1F48CDE0" w:rsidR="00214AA4" w:rsidRDefault="00BE49C6" w:rsidP="005E4FB1">
      <w:pPr>
        <w:rPr>
          <w:lang w:val="en-GB"/>
        </w:rPr>
      </w:pPr>
      <w:r>
        <w:rPr>
          <w:lang w:val="en-GB"/>
        </w:rPr>
        <w:t>For DCI-based and timer-based BWP switching</w:t>
      </w:r>
      <w:r w:rsidR="005F2C33">
        <w:rPr>
          <w:lang w:val="en-GB"/>
        </w:rPr>
        <w:t>,</w:t>
      </w:r>
      <w:r>
        <w:rPr>
          <w:lang w:val="en-GB"/>
        </w:rPr>
        <w:t xml:space="preserve"> the delays agreed in the RAN4 LS [2] </w:t>
      </w:r>
      <w:r w:rsidR="00E53FC6">
        <w:rPr>
          <w:lang w:val="en-GB"/>
        </w:rPr>
        <w:t xml:space="preserve">for Type 1 and Type 2 UEs </w:t>
      </w:r>
      <w:r>
        <w:rPr>
          <w:lang w:val="en-GB"/>
        </w:rPr>
        <w:t xml:space="preserve">should be </w:t>
      </w:r>
      <w:r w:rsidR="005F2C33">
        <w:rPr>
          <w:lang w:val="en-GB"/>
        </w:rPr>
        <w:t>adopted</w:t>
      </w:r>
      <w:r>
        <w:rPr>
          <w:lang w:val="en-GB"/>
        </w:rPr>
        <w:t xml:space="preserve">. </w:t>
      </w:r>
      <w:r w:rsidR="006E21FD">
        <w:rPr>
          <w:lang w:val="en-GB"/>
        </w:rPr>
        <w:t xml:space="preserve">However, as RAN4 agreed that the BWP switching delay requirement will be defined in the unit of slots, there is a slight difference in the delay for DCI-based and timer-based switching. </w:t>
      </w:r>
    </w:p>
    <w:p w14:paraId="15815767" w14:textId="107BB9A8" w:rsidR="00214AA4" w:rsidRDefault="00214AA4" w:rsidP="005E4FB1">
      <w:pPr>
        <w:rPr>
          <w:lang w:val="en-GB"/>
        </w:rPr>
      </w:pPr>
      <w:r>
        <w:rPr>
          <w:lang w:val="en-GB"/>
        </w:rPr>
        <w:t xml:space="preserve">For timer-based switch, the delay in slots can simply be calculated using the times agreed in the LS [2], as the switch begins at </w:t>
      </w:r>
      <w:r w:rsidRPr="006E21FD">
        <w:rPr>
          <w:lang w:val="en-GB"/>
        </w:rPr>
        <w:t>the beginning of</w:t>
      </w:r>
      <w:r w:rsidR="007877A6">
        <w:rPr>
          <w:lang w:val="en-GB"/>
        </w:rPr>
        <w:t xml:space="preserve"> the</w:t>
      </w:r>
      <w:r w:rsidR="005F2C33">
        <w:rPr>
          <w:lang w:val="en-GB"/>
        </w:rPr>
        <w:t xml:space="preserve"> first slot of</w:t>
      </w:r>
      <w:r w:rsidRPr="006E21FD">
        <w:rPr>
          <w:lang w:val="en-GB"/>
        </w:rPr>
        <w:t xml:space="preserve"> </w:t>
      </w:r>
      <w:r w:rsidR="005F2C33">
        <w:rPr>
          <w:lang w:val="en-GB"/>
        </w:rPr>
        <w:t>a</w:t>
      </w:r>
      <w:r w:rsidR="005F2C33" w:rsidRPr="006E21FD">
        <w:rPr>
          <w:lang w:val="en-GB"/>
        </w:rPr>
        <w:t xml:space="preserve"> </w:t>
      </w:r>
      <w:r w:rsidRPr="006E21FD">
        <w:rPr>
          <w:lang w:val="en-GB"/>
        </w:rPr>
        <w:t xml:space="preserve">subframe (FR1) or </w:t>
      </w:r>
      <w:r w:rsidR="005F2C33">
        <w:rPr>
          <w:lang w:val="en-GB"/>
        </w:rPr>
        <w:t>at</w:t>
      </w:r>
      <w:r w:rsidR="005F2C33" w:rsidRPr="006E21FD">
        <w:rPr>
          <w:lang w:val="en-GB"/>
        </w:rPr>
        <w:t xml:space="preserve"> </w:t>
      </w:r>
      <w:r w:rsidRPr="006E21FD">
        <w:rPr>
          <w:lang w:val="en-GB"/>
        </w:rPr>
        <w:t>the beginning of</w:t>
      </w:r>
      <w:r w:rsidR="005F2C33">
        <w:rPr>
          <w:lang w:val="en-GB"/>
        </w:rPr>
        <w:t xml:space="preserve"> </w:t>
      </w:r>
      <w:r w:rsidR="007877A6">
        <w:rPr>
          <w:lang w:val="en-GB"/>
        </w:rPr>
        <w:t xml:space="preserve">the </w:t>
      </w:r>
      <w:r w:rsidR="005F2C33">
        <w:rPr>
          <w:lang w:val="en-GB"/>
        </w:rPr>
        <w:t>slot of a</w:t>
      </w:r>
      <w:r w:rsidR="005F2C33" w:rsidRPr="006E21FD">
        <w:rPr>
          <w:lang w:val="en-GB"/>
        </w:rPr>
        <w:t xml:space="preserve"> </w:t>
      </w:r>
      <w:r w:rsidRPr="006E21FD">
        <w:rPr>
          <w:lang w:val="en-GB"/>
        </w:rPr>
        <w:t>half-subframe (FR2) immediately after a BWP timer expires</w:t>
      </w:r>
      <w:r>
        <w:rPr>
          <w:lang w:val="en-GB"/>
        </w:rPr>
        <w:t>. Timer-based BWP switching delay in</w:t>
      </w:r>
      <w:r w:rsidR="00E9563D">
        <w:rPr>
          <w:lang w:val="en-GB"/>
        </w:rPr>
        <w:t xml:space="preserve"> slots is shown below in Table 2</w:t>
      </w:r>
      <w:r>
        <w:rPr>
          <w:lang w:val="en-GB"/>
        </w:rPr>
        <w:t>.</w:t>
      </w:r>
    </w:p>
    <w:p w14:paraId="3221C967" w14:textId="399A0EDD" w:rsidR="00E9563D" w:rsidRDefault="00E9563D" w:rsidP="00E9563D">
      <w:pPr>
        <w:pStyle w:val="Caption"/>
        <w:keepNext/>
      </w:pPr>
      <w:r>
        <w:t xml:space="preserve">Table </w:t>
      </w:r>
      <w:r w:rsidR="0073092D">
        <w:fldChar w:fldCharType="begin"/>
      </w:r>
      <w:r w:rsidR="0073092D">
        <w:instrText xml:space="preserve"> SEQ Table \* ARABIC </w:instrText>
      </w:r>
      <w:r w:rsidR="0073092D">
        <w:fldChar w:fldCharType="separate"/>
      </w:r>
      <w:r w:rsidR="0023796F">
        <w:rPr>
          <w:noProof/>
        </w:rPr>
        <w:t>2</w:t>
      </w:r>
      <w:r w:rsidR="0073092D">
        <w:rPr>
          <w:noProof/>
        </w:rPr>
        <w:fldChar w:fldCharType="end"/>
      </w:r>
      <w:r>
        <w:t>: BWP switching delay for timer-based switch.</w:t>
      </w:r>
    </w:p>
    <w:tbl>
      <w:tblPr>
        <w:tblStyle w:val="TableGrid"/>
        <w:tblW w:w="0" w:type="auto"/>
        <w:tblLook w:val="04A0" w:firstRow="1" w:lastRow="0" w:firstColumn="1" w:lastColumn="0" w:noHBand="0" w:noVBand="1"/>
      </w:tblPr>
      <w:tblGrid>
        <w:gridCol w:w="484"/>
        <w:gridCol w:w="863"/>
        <w:gridCol w:w="1033"/>
        <w:gridCol w:w="1034"/>
        <w:gridCol w:w="1034"/>
        <w:gridCol w:w="1034"/>
        <w:gridCol w:w="1033"/>
        <w:gridCol w:w="1034"/>
        <w:gridCol w:w="1034"/>
        <w:gridCol w:w="1034"/>
      </w:tblGrid>
      <w:tr w:rsidR="00214AA4" w14:paraId="4AFDC598" w14:textId="77777777" w:rsidTr="00214AA4">
        <w:tc>
          <w:tcPr>
            <w:tcW w:w="484" w:type="dxa"/>
            <w:vAlign w:val="center"/>
          </w:tcPr>
          <w:p w14:paraId="68C868D4" w14:textId="52EEC065" w:rsidR="00214AA4" w:rsidRPr="00214AA4" w:rsidRDefault="00214AA4" w:rsidP="0050234B">
            <w:pPr>
              <w:jc w:val="center"/>
              <w:rPr>
                <w:rFonts w:ascii="Arial" w:hAnsi="Arial" w:cs="Arial"/>
                <w:b/>
                <w:sz w:val="18"/>
                <w:szCs w:val="18"/>
                <w:lang w:val="en-GB"/>
              </w:rPr>
            </w:pPr>
            <w:r w:rsidRPr="00214AA4">
              <w:rPr>
                <w:rFonts w:ascii="Arial" w:hAnsi="Arial" w:cs="Arial"/>
                <w:b/>
                <w:noProof/>
                <w:sz w:val="18"/>
                <w:szCs w:val="18"/>
              </w:rPr>
              <w:drawing>
                <wp:inline distT="0" distB="0" distL="0" distR="0" wp14:anchorId="727AB6EC" wp14:editId="7C07D120">
                  <wp:extent cx="1524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6B6A78D6" w14:textId="77777777" w:rsidR="00214AA4" w:rsidRPr="00214AA4" w:rsidRDefault="00214AA4" w:rsidP="00214AA4">
            <w:pPr>
              <w:jc w:val="center"/>
              <w:rPr>
                <w:rFonts w:ascii="Arial" w:hAnsi="Arial" w:cs="Arial"/>
                <w:b/>
                <w:sz w:val="18"/>
                <w:szCs w:val="18"/>
                <w:lang w:val="en-GB"/>
              </w:rPr>
            </w:pPr>
            <w:r w:rsidRPr="00214AA4">
              <w:rPr>
                <w:rFonts w:ascii="Arial" w:hAnsi="Arial" w:cs="Arial"/>
                <w:b/>
                <w:sz w:val="18"/>
                <w:szCs w:val="18"/>
              </w:rPr>
              <w:t>NR Slot length (ms)</w:t>
            </w:r>
          </w:p>
        </w:tc>
        <w:tc>
          <w:tcPr>
            <w:tcW w:w="2067" w:type="dxa"/>
            <w:gridSpan w:val="2"/>
            <w:vAlign w:val="center"/>
          </w:tcPr>
          <w:p w14:paraId="6EAA9231" w14:textId="77777777" w:rsidR="00214AA4" w:rsidRPr="00214AA4" w:rsidRDefault="00214AA4" w:rsidP="00214AA4">
            <w:pPr>
              <w:jc w:val="center"/>
              <w:rPr>
                <w:rFonts w:ascii="Arial" w:hAnsi="Arial" w:cs="Arial"/>
                <w:b/>
                <w:sz w:val="18"/>
                <w:szCs w:val="18"/>
                <w:lang w:val="en-GB"/>
              </w:rPr>
            </w:pPr>
            <w:r w:rsidRPr="00214AA4">
              <w:rPr>
                <w:rFonts w:ascii="Arial" w:hAnsi="Arial" w:cs="Arial"/>
                <w:b/>
                <w:sz w:val="18"/>
                <w:szCs w:val="18"/>
                <w:lang w:val="en-GB"/>
              </w:rPr>
              <w:t>Type 1 UE, Scenario 1, 2, 3</w:t>
            </w:r>
          </w:p>
        </w:tc>
        <w:tc>
          <w:tcPr>
            <w:tcW w:w="2068" w:type="dxa"/>
            <w:gridSpan w:val="2"/>
            <w:vAlign w:val="center"/>
          </w:tcPr>
          <w:p w14:paraId="20B743BC" w14:textId="77777777" w:rsidR="00214AA4" w:rsidRPr="00214AA4" w:rsidRDefault="00214AA4" w:rsidP="00214AA4">
            <w:pPr>
              <w:jc w:val="center"/>
              <w:rPr>
                <w:rFonts w:ascii="Arial" w:hAnsi="Arial" w:cs="Arial"/>
                <w:b/>
                <w:sz w:val="18"/>
                <w:szCs w:val="18"/>
                <w:lang w:val="en-GB"/>
              </w:rPr>
            </w:pPr>
            <w:r w:rsidRPr="00214AA4">
              <w:rPr>
                <w:rFonts w:ascii="Arial" w:hAnsi="Arial" w:cs="Arial"/>
                <w:b/>
                <w:sz w:val="18"/>
                <w:szCs w:val="18"/>
                <w:lang w:val="en-GB"/>
              </w:rPr>
              <w:t>Type 1 UE, Scenario 4</w:t>
            </w:r>
          </w:p>
        </w:tc>
        <w:tc>
          <w:tcPr>
            <w:tcW w:w="2067" w:type="dxa"/>
            <w:gridSpan w:val="2"/>
            <w:vAlign w:val="center"/>
          </w:tcPr>
          <w:p w14:paraId="31AE465C" w14:textId="77777777" w:rsidR="00214AA4" w:rsidRPr="00214AA4" w:rsidRDefault="00214AA4" w:rsidP="00214AA4">
            <w:pPr>
              <w:jc w:val="center"/>
              <w:rPr>
                <w:rFonts w:ascii="Arial" w:hAnsi="Arial" w:cs="Arial"/>
                <w:b/>
                <w:sz w:val="18"/>
                <w:szCs w:val="18"/>
                <w:lang w:val="en-GB"/>
              </w:rPr>
            </w:pPr>
            <w:r w:rsidRPr="00214AA4">
              <w:rPr>
                <w:rFonts w:ascii="Arial" w:hAnsi="Arial" w:cs="Arial"/>
                <w:b/>
                <w:sz w:val="18"/>
                <w:szCs w:val="18"/>
                <w:lang w:val="en-GB"/>
              </w:rPr>
              <w:t>Type 2 UE, Scenario 1, 2, 3</w:t>
            </w:r>
          </w:p>
        </w:tc>
        <w:tc>
          <w:tcPr>
            <w:tcW w:w="2068" w:type="dxa"/>
            <w:gridSpan w:val="2"/>
            <w:vAlign w:val="center"/>
          </w:tcPr>
          <w:p w14:paraId="05CE00B5" w14:textId="77777777" w:rsidR="00214AA4" w:rsidRPr="00214AA4" w:rsidRDefault="00214AA4" w:rsidP="00214AA4">
            <w:pPr>
              <w:jc w:val="center"/>
              <w:rPr>
                <w:rFonts w:ascii="Arial" w:hAnsi="Arial" w:cs="Arial"/>
                <w:b/>
                <w:sz w:val="18"/>
                <w:szCs w:val="18"/>
                <w:lang w:val="en-GB"/>
              </w:rPr>
            </w:pPr>
            <w:r w:rsidRPr="00214AA4">
              <w:rPr>
                <w:rFonts w:ascii="Arial" w:hAnsi="Arial" w:cs="Arial"/>
                <w:b/>
                <w:sz w:val="18"/>
                <w:szCs w:val="18"/>
                <w:lang w:val="en-GB"/>
              </w:rPr>
              <w:t>Type 2 UE, Scenario 4</w:t>
            </w:r>
          </w:p>
        </w:tc>
      </w:tr>
      <w:tr w:rsidR="00214AA4" w14:paraId="414415FB" w14:textId="77777777" w:rsidTr="0050234B">
        <w:tc>
          <w:tcPr>
            <w:tcW w:w="484" w:type="dxa"/>
          </w:tcPr>
          <w:p w14:paraId="049227A6" w14:textId="77777777" w:rsidR="00214AA4" w:rsidRPr="00214AA4" w:rsidRDefault="00214AA4" w:rsidP="0050234B">
            <w:pPr>
              <w:jc w:val="center"/>
              <w:rPr>
                <w:rFonts w:ascii="Arial" w:hAnsi="Arial" w:cs="Arial"/>
                <w:sz w:val="18"/>
                <w:szCs w:val="18"/>
              </w:rPr>
            </w:pPr>
          </w:p>
        </w:tc>
        <w:tc>
          <w:tcPr>
            <w:tcW w:w="863" w:type="dxa"/>
          </w:tcPr>
          <w:p w14:paraId="7607AD18" w14:textId="77777777" w:rsidR="00214AA4" w:rsidRPr="00214AA4" w:rsidRDefault="00214AA4" w:rsidP="0050234B">
            <w:pPr>
              <w:jc w:val="center"/>
              <w:rPr>
                <w:rFonts w:ascii="Arial" w:hAnsi="Arial" w:cs="Arial"/>
                <w:sz w:val="18"/>
                <w:szCs w:val="18"/>
              </w:rPr>
            </w:pPr>
          </w:p>
        </w:tc>
        <w:tc>
          <w:tcPr>
            <w:tcW w:w="1033" w:type="dxa"/>
          </w:tcPr>
          <w:p w14:paraId="1F886EDA"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[us]</w:t>
            </w:r>
          </w:p>
        </w:tc>
        <w:tc>
          <w:tcPr>
            <w:tcW w:w="1034" w:type="dxa"/>
          </w:tcPr>
          <w:p w14:paraId="501161DC"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034" w:type="dxa"/>
          </w:tcPr>
          <w:p w14:paraId="45E40565"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[us]</w:t>
            </w:r>
          </w:p>
        </w:tc>
        <w:tc>
          <w:tcPr>
            <w:tcW w:w="1034" w:type="dxa"/>
          </w:tcPr>
          <w:p w14:paraId="57AFD0AD"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033" w:type="dxa"/>
          </w:tcPr>
          <w:p w14:paraId="0EE566A6"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[us]</w:t>
            </w:r>
          </w:p>
        </w:tc>
        <w:tc>
          <w:tcPr>
            <w:tcW w:w="1034" w:type="dxa"/>
          </w:tcPr>
          <w:p w14:paraId="119FB411"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034" w:type="dxa"/>
          </w:tcPr>
          <w:p w14:paraId="36CBA7C6"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[us]</w:t>
            </w:r>
          </w:p>
        </w:tc>
        <w:tc>
          <w:tcPr>
            <w:tcW w:w="1034" w:type="dxa"/>
          </w:tcPr>
          <w:p w14:paraId="3DF0283A"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[slots]</w:t>
            </w:r>
          </w:p>
        </w:tc>
      </w:tr>
      <w:tr w:rsidR="00214AA4" w14:paraId="46C25BA1" w14:textId="77777777" w:rsidTr="0050234B">
        <w:tc>
          <w:tcPr>
            <w:tcW w:w="484" w:type="dxa"/>
          </w:tcPr>
          <w:p w14:paraId="6C0C2103"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rPr>
              <w:t>0</w:t>
            </w:r>
          </w:p>
        </w:tc>
        <w:tc>
          <w:tcPr>
            <w:tcW w:w="863" w:type="dxa"/>
          </w:tcPr>
          <w:p w14:paraId="285B6056"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rPr>
              <w:t>1</w:t>
            </w:r>
          </w:p>
        </w:tc>
        <w:tc>
          <w:tcPr>
            <w:tcW w:w="1033" w:type="dxa"/>
            <w:vMerge w:val="restart"/>
            <w:vAlign w:val="center"/>
          </w:tcPr>
          <w:p w14:paraId="548B7A9D" w14:textId="77777777" w:rsidR="00214AA4" w:rsidRPr="00214AA4" w:rsidRDefault="00214AA4" w:rsidP="0050234B">
            <w:pPr>
              <w:jc w:val="center"/>
              <w:rPr>
                <w:rFonts w:ascii="Arial" w:hAnsi="Arial" w:cs="Arial"/>
                <w:sz w:val="18"/>
                <w:szCs w:val="18"/>
                <w:lang w:val="en-GB"/>
              </w:rPr>
            </w:pPr>
            <w:r>
              <w:rPr>
                <w:rFonts w:ascii="Arial" w:hAnsi="Arial" w:cs="Arial"/>
                <w:color w:val="000000"/>
                <w:sz w:val="18"/>
                <w:szCs w:val="18"/>
              </w:rPr>
              <w:t>600</w:t>
            </w:r>
          </w:p>
        </w:tc>
        <w:tc>
          <w:tcPr>
            <w:tcW w:w="1034" w:type="dxa"/>
            <w:vAlign w:val="bottom"/>
          </w:tcPr>
          <w:p w14:paraId="05EBBBCB"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1</w:t>
            </w:r>
          </w:p>
        </w:tc>
        <w:tc>
          <w:tcPr>
            <w:tcW w:w="1034" w:type="dxa"/>
            <w:vMerge w:val="restart"/>
            <w:vAlign w:val="center"/>
          </w:tcPr>
          <w:p w14:paraId="3F901DA8" w14:textId="77777777" w:rsidR="00214AA4" w:rsidRPr="00214AA4" w:rsidRDefault="00214AA4" w:rsidP="0050234B">
            <w:pPr>
              <w:jc w:val="center"/>
              <w:rPr>
                <w:rFonts w:ascii="Arial" w:hAnsi="Arial" w:cs="Arial"/>
                <w:sz w:val="18"/>
                <w:szCs w:val="18"/>
                <w:lang w:val="en-GB"/>
              </w:rPr>
            </w:pPr>
            <w:r>
              <w:rPr>
                <w:rFonts w:ascii="Arial" w:hAnsi="Arial" w:cs="Arial"/>
                <w:color w:val="000000"/>
                <w:sz w:val="18"/>
                <w:szCs w:val="18"/>
              </w:rPr>
              <w:t>400</w:t>
            </w:r>
          </w:p>
        </w:tc>
        <w:tc>
          <w:tcPr>
            <w:tcW w:w="1034" w:type="dxa"/>
            <w:vAlign w:val="bottom"/>
          </w:tcPr>
          <w:p w14:paraId="16CE97BE"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1</w:t>
            </w:r>
          </w:p>
        </w:tc>
        <w:tc>
          <w:tcPr>
            <w:tcW w:w="1033" w:type="dxa"/>
            <w:vMerge w:val="restart"/>
            <w:vAlign w:val="center"/>
          </w:tcPr>
          <w:p w14:paraId="0EA0021C" w14:textId="77777777" w:rsidR="00214AA4" w:rsidRPr="00214AA4" w:rsidRDefault="00214AA4" w:rsidP="0050234B">
            <w:pPr>
              <w:jc w:val="center"/>
              <w:rPr>
                <w:rFonts w:ascii="Arial" w:hAnsi="Arial" w:cs="Arial"/>
                <w:sz w:val="18"/>
                <w:szCs w:val="18"/>
                <w:lang w:val="en-GB"/>
              </w:rPr>
            </w:pPr>
            <w:r>
              <w:rPr>
                <w:rFonts w:ascii="Arial" w:hAnsi="Arial" w:cs="Arial"/>
                <w:color w:val="000000"/>
                <w:sz w:val="18"/>
                <w:szCs w:val="18"/>
              </w:rPr>
              <w:t>2000</w:t>
            </w:r>
          </w:p>
        </w:tc>
        <w:tc>
          <w:tcPr>
            <w:tcW w:w="1034" w:type="dxa"/>
            <w:vAlign w:val="bottom"/>
          </w:tcPr>
          <w:p w14:paraId="2B7D947C"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2</w:t>
            </w:r>
          </w:p>
        </w:tc>
        <w:tc>
          <w:tcPr>
            <w:tcW w:w="1034" w:type="dxa"/>
            <w:vMerge w:val="restart"/>
            <w:vAlign w:val="center"/>
          </w:tcPr>
          <w:p w14:paraId="0BB62840" w14:textId="77777777" w:rsidR="00214AA4" w:rsidRPr="00214AA4" w:rsidRDefault="00214AA4" w:rsidP="0050234B">
            <w:pPr>
              <w:jc w:val="center"/>
              <w:rPr>
                <w:rFonts w:ascii="Arial" w:hAnsi="Arial" w:cs="Arial"/>
                <w:sz w:val="18"/>
                <w:szCs w:val="18"/>
                <w:lang w:val="en-GB"/>
              </w:rPr>
            </w:pPr>
            <w:r>
              <w:rPr>
                <w:rFonts w:ascii="Arial" w:hAnsi="Arial" w:cs="Arial"/>
                <w:sz w:val="18"/>
                <w:szCs w:val="18"/>
                <w:lang w:val="en-GB"/>
              </w:rPr>
              <w:t>950</w:t>
            </w:r>
          </w:p>
        </w:tc>
        <w:tc>
          <w:tcPr>
            <w:tcW w:w="1034" w:type="dxa"/>
            <w:vAlign w:val="bottom"/>
          </w:tcPr>
          <w:p w14:paraId="6632D280"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1</w:t>
            </w:r>
          </w:p>
        </w:tc>
      </w:tr>
      <w:tr w:rsidR="00214AA4" w14:paraId="66582244" w14:textId="77777777" w:rsidTr="0050234B">
        <w:tc>
          <w:tcPr>
            <w:tcW w:w="484" w:type="dxa"/>
          </w:tcPr>
          <w:p w14:paraId="2942153E"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rPr>
              <w:t>1</w:t>
            </w:r>
          </w:p>
        </w:tc>
        <w:tc>
          <w:tcPr>
            <w:tcW w:w="863" w:type="dxa"/>
          </w:tcPr>
          <w:p w14:paraId="6735B89F"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rPr>
              <w:t>0.5</w:t>
            </w:r>
          </w:p>
        </w:tc>
        <w:tc>
          <w:tcPr>
            <w:tcW w:w="1033" w:type="dxa"/>
            <w:vMerge/>
            <w:vAlign w:val="bottom"/>
          </w:tcPr>
          <w:p w14:paraId="12F8A872" w14:textId="77777777" w:rsidR="00214AA4" w:rsidRPr="00214AA4" w:rsidRDefault="00214AA4" w:rsidP="0050234B">
            <w:pPr>
              <w:jc w:val="center"/>
              <w:rPr>
                <w:rFonts w:ascii="Arial" w:hAnsi="Arial" w:cs="Arial"/>
                <w:sz w:val="18"/>
                <w:szCs w:val="18"/>
                <w:lang w:val="en-GB"/>
              </w:rPr>
            </w:pPr>
          </w:p>
        </w:tc>
        <w:tc>
          <w:tcPr>
            <w:tcW w:w="1034" w:type="dxa"/>
            <w:vAlign w:val="bottom"/>
          </w:tcPr>
          <w:p w14:paraId="6862DA7A"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2</w:t>
            </w:r>
          </w:p>
        </w:tc>
        <w:tc>
          <w:tcPr>
            <w:tcW w:w="1034" w:type="dxa"/>
            <w:vMerge/>
            <w:vAlign w:val="bottom"/>
          </w:tcPr>
          <w:p w14:paraId="33647BF3" w14:textId="77777777" w:rsidR="00214AA4" w:rsidRPr="00214AA4" w:rsidRDefault="00214AA4" w:rsidP="0050234B">
            <w:pPr>
              <w:jc w:val="center"/>
              <w:rPr>
                <w:rFonts w:ascii="Arial" w:hAnsi="Arial" w:cs="Arial"/>
                <w:sz w:val="18"/>
                <w:szCs w:val="18"/>
                <w:lang w:val="en-GB"/>
              </w:rPr>
            </w:pPr>
          </w:p>
        </w:tc>
        <w:tc>
          <w:tcPr>
            <w:tcW w:w="1034" w:type="dxa"/>
            <w:vAlign w:val="bottom"/>
          </w:tcPr>
          <w:p w14:paraId="30F3D5E5"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1</w:t>
            </w:r>
          </w:p>
        </w:tc>
        <w:tc>
          <w:tcPr>
            <w:tcW w:w="1033" w:type="dxa"/>
            <w:vMerge/>
            <w:vAlign w:val="bottom"/>
          </w:tcPr>
          <w:p w14:paraId="15618A03" w14:textId="77777777" w:rsidR="00214AA4" w:rsidRPr="00214AA4" w:rsidRDefault="00214AA4" w:rsidP="0050234B">
            <w:pPr>
              <w:jc w:val="center"/>
              <w:rPr>
                <w:rFonts w:ascii="Arial" w:hAnsi="Arial" w:cs="Arial"/>
                <w:sz w:val="18"/>
                <w:szCs w:val="18"/>
                <w:lang w:val="en-GB"/>
              </w:rPr>
            </w:pPr>
          </w:p>
        </w:tc>
        <w:tc>
          <w:tcPr>
            <w:tcW w:w="1034" w:type="dxa"/>
            <w:vAlign w:val="bottom"/>
          </w:tcPr>
          <w:p w14:paraId="59F84412"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4</w:t>
            </w:r>
          </w:p>
        </w:tc>
        <w:tc>
          <w:tcPr>
            <w:tcW w:w="1034" w:type="dxa"/>
            <w:vMerge/>
            <w:vAlign w:val="bottom"/>
          </w:tcPr>
          <w:p w14:paraId="24583C1C" w14:textId="77777777" w:rsidR="00214AA4" w:rsidRPr="00214AA4" w:rsidRDefault="00214AA4" w:rsidP="0050234B">
            <w:pPr>
              <w:jc w:val="center"/>
              <w:rPr>
                <w:rFonts w:ascii="Arial" w:hAnsi="Arial" w:cs="Arial"/>
                <w:sz w:val="18"/>
                <w:szCs w:val="18"/>
                <w:lang w:val="en-GB"/>
              </w:rPr>
            </w:pPr>
          </w:p>
        </w:tc>
        <w:tc>
          <w:tcPr>
            <w:tcW w:w="1034" w:type="dxa"/>
            <w:vAlign w:val="bottom"/>
          </w:tcPr>
          <w:p w14:paraId="6806C248"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2</w:t>
            </w:r>
          </w:p>
        </w:tc>
      </w:tr>
      <w:tr w:rsidR="00214AA4" w14:paraId="66C73B62" w14:textId="77777777" w:rsidTr="0050234B">
        <w:tc>
          <w:tcPr>
            <w:tcW w:w="484" w:type="dxa"/>
          </w:tcPr>
          <w:p w14:paraId="5E2769EF"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rPr>
              <w:t>2</w:t>
            </w:r>
          </w:p>
        </w:tc>
        <w:tc>
          <w:tcPr>
            <w:tcW w:w="863" w:type="dxa"/>
          </w:tcPr>
          <w:p w14:paraId="2917F0DC"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rPr>
              <w:t>0.25</w:t>
            </w:r>
          </w:p>
        </w:tc>
        <w:tc>
          <w:tcPr>
            <w:tcW w:w="1033" w:type="dxa"/>
            <w:vMerge/>
            <w:vAlign w:val="bottom"/>
          </w:tcPr>
          <w:p w14:paraId="167FE524" w14:textId="77777777" w:rsidR="00214AA4" w:rsidRPr="00214AA4" w:rsidRDefault="00214AA4" w:rsidP="0050234B">
            <w:pPr>
              <w:jc w:val="center"/>
              <w:rPr>
                <w:rFonts w:ascii="Arial" w:hAnsi="Arial" w:cs="Arial"/>
                <w:sz w:val="18"/>
                <w:szCs w:val="18"/>
                <w:lang w:val="en-GB"/>
              </w:rPr>
            </w:pPr>
          </w:p>
        </w:tc>
        <w:tc>
          <w:tcPr>
            <w:tcW w:w="1034" w:type="dxa"/>
            <w:vAlign w:val="bottom"/>
          </w:tcPr>
          <w:p w14:paraId="438658EA"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3</w:t>
            </w:r>
          </w:p>
        </w:tc>
        <w:tc>
          <w:tcPr>
            <w:tcW w:w="1034" w:type="dxa"/>
            <w:vMerge/>
            <w:vAlign w:val="bottom"/>
          </w:tcPr>
          <w:p w14:paraId="140DE3C0" w14:textId="77777777" w:rsidR="00214AA4" w:rsidRPr="00214AA4" w:rsidRDefault="00214AA4" w:rsidP="0050234B">
            <w:pPr>
              <w:jc w:val="center"/>
              <w:rPr>
                <w:rFonts w:ascii="Arial" w:hAnsi="Arial" w:cs="Arial"/>
                <w:sz w:val="18"/>
                <w:szCs w:val="18"/>
                <w:lang w:val="en-GB"/>
              </w:rPr>
            </w:pPr>
          </w:p>
        </w:tc>
        <w:tc>
          <w:tcPr>
            <w:tcW w:w="1034" w:type="dxa"/>
            <w:vAlign w:val="bottom"/>
          </w:tcPr>
          <w:p w14:paraId="73E6EEF3"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2</w:t>
            </w:r>
          </w:p>
        </w:tc>
        <w:tc>
          <w:tcPr>
            <w:tcW w:w="1033" w:type="dxa"/>
            <w:vMerge/>
            <w:vAlign w:val="bottom"/>
          </w:tcPr>
          <w:p w14:paraId="7D69D4F0" w14:textId="77777777" w:rsidR="00214AA4" w:rsidRPr="00214AA4" w:rsidRDefault="00214AA4" w:rsidP="0050234B">
            <w:pPr>
              <w:jc w:val="center"/>
              <w:rPr>
                <w:rFonts w:ascii="Arial" w:hAnsi="Arial" w:cs="Arial"/>
                <w:sz w:val="18"/>
                <w:szCs w:val="18"/>
                <w:lang w:val="en-GB"/>
              </w:rPr>
            </w:pPr>
          </w:p>
        </w:tc>
        <w:tc>
          <w:tcPr>
            <w:tcW w:w="1034" w:type="dxa"/>
            <w:vAlign w:val="bottom"/>
          </w:tcPr>
          <w:p w14:paraId="601AF458"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8</w:t>
            </w:r>
          </w:p>
        </w:tc>
        <w:tc>
          <w:tcPr>
            <w:tcW w:w="1034" w:type="dxa"/>
            <w:vMerge/>
            <w:vAlign w:val="bottom"/>
          </w:tcPr>
          <w:p w14:paraId="051CC93C" w14:textId="77777777" w:rsidR="00214AA4" w:rsidRPr="00214AA4" w:rsidRDefault="00214AA4" w:rsidP="0050234B">
            <w:pPr>
              <w:jc w:val="center"/>
              <w:rPr>
                <w:rFonts w:ascii="Arial" w:hAnsi="Arial" w:cs="Arial"/>
                <w:sz w:val="18"/>
                <w:szCs w:val="18"/>
                <w:lang w:val="en-GB"/>
              </w:rPr>
            </w:pPr>
          </w:p>
        </w:tc>
        <w:tc>
          <w:tcPr>
            <w:tcW w:w="1034" w:type="dxa"/>
            <w:vAlign w:val="bottom"/>
          </w:tcPr>
          <w:p w14:paraId="3C60C08A"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4</w:t>
            </w:r>
          </w:p>
        </w:tc>
      </w:tr>
      <w:tr w:rsidR="00214AA4" w14:paraId="067B9F69" w14:textId="77777777" w:rsidTr="0050234B">
        <w:tc>
          <w:tcPr>
            <w:tcW w:w="484" w:type="dxa"/>
          </w:tcPr>
          <w:p w14:paraId="043E02DC"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rPr>
              <w:t>3</w:t>
            </w:r>
          </w:p>
        </w:tc>
        <w:tc>
          <w:tcPr>
            <w:tcW w:w="863" w:type="dxa"/>
          </w:tcPr>
          <w:p w14:paraId="5A0066BF"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rPr>
              <w:t>0.125</w:t>
            </w:r>
          </w:p>
        </w:tc>
        <w:tc>
          <w:tcPr>
            <w:tcW w:w="1033" w:type="dxa"/>
            <w:vMerge/>
            <w:vAlign w:val="bottom"/>
          </w:tcPr>
          <w:p w14:paraId="5C728966" w14:textId="77777777" w:rsidR="00214AA4" w:rsidRPr="00214AA4" w:rsidRDefault="00214AA4" w:rsidP="0050234B">
            <w:pPr>
              <w:jc w:val="center"/>
              <w:rPr>
                <w:rFonts w:ascii="Arial" w:hAnsi="Arial" w:cs="Arial"/>
                <w:sz w:val="18"/>
                <w:szCs w:val="18"/>
                <w:lang w:val="en-GB"/>
              </w:rPr>
            </w:pPr>
          </w:p>
        </w:tc>
        <w:tc>
          <w:tcPr>
            <w:tcW w:w="1034" w:type="dxa"/>
            <w:vAlign w:val="bottom"/>
          </w:tcPr>
          <w:p w14:paraId="310DE9FE"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5</w:t>
            </w:r>
          </w:p>
        </w:tc>
        <w:tc>
          <w:tcPr>
            <w:tcW w:w="1034" w:type="dxa"/>
            <w:vMerge/>
            <w:vAlign w:val="bottom"/>
          </w:tcPr>
          <w:p w14:paraId="7DD68A3D" w14:textId="77777777" w:rsidR="00214AA4" w:rsidRPr="00214AA4" w:rsidRDefault="00214AA4" w:rsidP="0050234B">
            <w:pPr>
              <w:jc w:val="center"/>
              <w:rPr>
                <w:rFonts w:ascii="Arial" w:hAnsi="Arial" w:cs="Arial"/>
                <w:sz w:val="18"/>
                <w:szCs w:val="18"/>
                <w:lang w:val="en-GB"/>
              </w:rPr>
            </w:pPr>
          </w:p>
        </w:tc>
        <w:tc>
          <w:tcPr>
            <w:tcW w:w="1034" w:type="dxa"/>
            <w:vAlign w:val="bottom"/>
          </w:tcPr>
          <w:p w14:paraId="2A82459D"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4</w:t>
            </w:r>
          </w:p>
        </w:tc>
        <w:tc>
          <w:tcPr>
            <w:tcW w:w="1033" w:type="dxa"/>
            <w:vMerge/>
            <w:vAlign w:val="bottom"/>
          </w:tcPr>
          <w:p w14:paraId="62B570D3" w14:textId="77777777" w:rsidR="00214AA4" w:rsidRPr="00214AA4" w:rsidRDefault="00214AA4" w:rsidP="0050234B">
            <w:pPr>
              <w:jc w:val="center"/>
              <w:rPr>
                <w:rFonts w:ascii="Arial" w:hAnsi="Arial" w:cs="Arial"/>
                <w:sz w:val="18"/>
                <w:szCs w:val="18"/>
                <w:lang w:val="en-GB"/>
              </w:rPr>
            </w:pPr>
          </w:p>
        </w:tc>
        <w:tc>
          <w:tcPr>
            <w:tcW w:w="1034" w:type="dxa"/>
            <w:vAlign w:val="bottom"/>
          </w:tcPr>
          <w:p w14:paraId="65B631DB"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16</w:t>
            </w:r>
          </w:p>
        </w:tc>
        <w:tc>
          <w:tcPr>
            <w:tcW w:w="1034" w:type="dxa"/>
            <w:vMerge/>
            <w:vAlign w:val="bottom"/>
          </w:tcPr>
          <w:p w14:paraId="19A38B48" w14:textId="77777777" w:rsidR="00214AA4" w:rsidRPr="00214AA4" w:rsidRDefault="00214AA4" w:rsidP="0050234B">
            <w:pPr>
              <w:jc w:val="center"/>
              <w:rPr>
                <w:rFonts w:ascii="Arial" w:hAnsi="Arial" w:cs="Arial"/>
                <w:sz w:val="18"/>
                <w:szCs w:val="18"/>
                <w:lang w:val="en-GB"/>
              </w:rPr>
            </w:pPr>
          </w:p>
        </w:tc>
        <w:tc>
          <w:tcPr>
            <w:tcW w:w="1034" w:type="dxa"/>
            <w:vAlign w:val="bottom"/>
          </w:tcPr>
          <w:p w14:paraId="32231223" w14:textId="77777777" w:rsidR="00214AA4" w:rsidRPr="00214AA4" w:rsidRDefault="00214AA4" w:rsidP="0050234B">
            <w:pPr>
              <w:jc w:val="center"/>
              <w:rPr>
                <w:rFonts w:ascii="Arial" w:hAnsi="Arial" w:cs="Arial"/>
                <w:sz w:val="18"/>
                <w:szCs w:val="18"/>
                <w:lang w:val="en-GB"/>
              </w:rPr>
            </w:pPr>
            <w:r w:rsidRPr="00214AA4">
              <w:rPr>
                <w:rFonts w:ascii="Arial" w:hAnsi="Arial" w:cs="Arial"/>
                <w:color w:val="000000"/>
                <w:sz w:val="18"/>
                <w:szCs w:val="18"/>
              </w:rPr>
              <w:t>8</w:t>
            </w:r>
          </w:p>
        </w:tc>
      </w:tr>
    </w:tbl>
    <w:p w14:paraId="74624C42" w14:textId="77777777" w:rsidR="00214AA4" w:rsidRDefault="00214AA4" w:rsidP="005E4FB1">
      <w:pPr>
        <w:rPr>
          <w:lang w:val="en-GB"/>
        </w:rPr>
      </w:pPr>
    </w:p>
    <w:p w14:paraId="2CFCC791" w14:textId="7802FB5A" w:rsidR="006E21FD" w:rsidRDefault="006E21FD" w:rsidP="005E4FB1">
      <w:pPr>
        <w:rPr>
          <w:lang w:val="en-GB"/>
        </w:rPr>
      </w:pPr>
      <w:r>
        <w:rPr>
          <w:lang w:val="en-GB"/>
        </w:rPr>
        <w:lastRenderedPageBreak/>
        <w:t xml:space="preserve">DCI-based switching begins at </w:t>
      </w:r>
      <w:r w:rsidRPr="006E21FD">
        <w:rPr>
          <w:lang w:val="en-GB"/>
        </w:rPr>
        <w:t>the end of the last</w:t>
      </w:r>
      <w:r w:rsidRPr="00922DE2">
        <w:rPr>
          <w:i/>
          <w:lang w:val="en-GB"/>
        </w:rPr>
        <w:t xml:space="preserve"> symbol</w:t>
      </w:r>
      <w:r w:rsidRPr="006E21FD">
        <w:rPr>
          <w:lang w:val="en-GB"/>
        </w:rPr>
        <w:t xml:space="preserve"> including the DCI indicating the BWP switch</w:t>
      </w:r>
      <w:r>
        <w:rPr>
          <w:lang w:val="en-GB"/>
        </w:rPr>
        <w:t>.</w:t>
      </w:r>
      <w:r w:rsidR="002676F9">
        <w:rPr>
          <w:lang w:val="en-GB"/>
        </w:rPr>
        <w:t xml:space="preserve"> Thus, </w:t>
      </w:r>
      <w:r w:rsidR="00CB0A5D">
        <w:rPr>
          <w:lang w:val="en-GB"/>
        </w:rPr>
        <w:t xml:space="preserve">when the time is calculated in </w:t>
      </w:r>
      <w:r w:rsidR="00CB0A5D" w:rsidRPr="00922DE2">
        <w:rPr>
          <w:i/>
          <w:lang w:val="en-GB"/>
        </w:rPr>
        <w:t>slots</w:t>
      </w:r>
      <w:r w:rsidR="00CB0A5D">
        <w:rPr>
          <w:lang w:val="en-GB"/>
        </w:rPr>
        <w:t xml:space="preserve">, </w:t>
      </w:r>
      <w:r w:rsidR="002676F9">
        <w:rPr>
          <w:lang w:val="en-GB"/>
        </w:rPr>
        <w:t xml:space="preserve">for DCI-based switching, </w:t>
      </w:r>
      <w:r w:rsidR="00732FC8">
        <w:rPr>
          <w:lang w:val="en-GB"/>
        </w:rPr>
        <w:t xml:space="preserve">the total delay </w:t>
      </w:r>
      <w:r w:rsidR="007E01E9">
        <w:rPr>
          <w:lang w:val="en-GB"/>
        </w:rPr>
        <w:t xml:space="preserve">in slots may </w:t>
      </w:r>
      <w:r w:rsidR="00732FC8">
        <w:rPr>
          <w:lang w:val="en-GB"/>
        </w:rPr>
        <w:t>depend on the</w:t>
      </w:r>
      <w:r w:rsidR="00214AA4">
        <w:rPr>
          <w:lang w:val="en-GB"/>
        </w:rPr>
        <w:t xml:space="preserve"> PDCCH symbol where DCI is sent</w:t>
      </w:r>
      <w:r w:rsidR="00E9563D">
        <w:rPr>
          <w:lang w:val="en-GB"/>
        </w:rPr>
        <w:t xml:space="preserve">, </w:t>
      </w:r>
      <w:r w:rsidR="005F2C33">
        <w:rPr>
          <w:lang w:val="en-GB"/>
        </w:rPr>
        <w:t>as</w:t>
      </w:r>
      <w:r w:rsidR="00E9563D">
        <w:rPr>
          <w:lang w:val="en-GB"/>
        </w:rPr>
        <w:t xml:space="preserve"> discussed in the last meeting in [3]</w:t>
      </w:r>
      <w:r w:rsidR="00CB0A5D">
        <w:rPr>
          <w:lang w:val="en-GB"/>
        </w:rPr>
        <w:t xml:space="preserve">. </w:t>
      </w:r>
      <w:r w:rsidR="00214AA4">
        <w:rPr>
          <w:lang w:val="en-GB"/>
        </w:rPr>
        <w:t>DCI can occur in the three first symbols of a slot. Therefore,</w:t>
      </w:r>
      <w:r w:rsidR="003A7A47">
        <w:rPr>
          <w:lang w:val="en-GB"/>
        </w:rPr>
        <w:t xml:space="preserve"> in the worst</w:t>
      </w:r>
      <w:r w:rsidR="00922DE2">
        <w:rPr>
          <w:lang w:val="en-GB"/>
        </w:rPr>
        <w:t>-</w:t>
      </w:r>
      <w:r w:rsidR="003A7A47">
        <w:rPr>
          <w:lang w:val="en-GB"/>
        </w:rPr>
        <w:t>case</w:t>
      </w:r>
      <w:r w:rsidR="00922DE2">
        <w:rPr>
          <w:lang w:val="en-GB"/>
        </w:rPr>
        <w:t xml:space="preserve"> scenario</w:t>
      </w:r>
      <w:r w:rsidR="003A7A47">
        <w:rPr>
          <w:lang w:val="en-GB"/>
        </w:rPr>
        <w:t>, when DCI is in the third symbol,</w:t>
      </w:r>
      <w:r w:rsidR="00214AA4">
        <w:rPr>
          <w:lang w:val="en-GB"/>
        </w:rPr>
        <w:t xml:space="preserve"> the delay </w:t>
      </w:r>
      <w:r w:rsidR="007E01E9">
        <w:rPr>
          <w:lang w:val="en-GB"/>
        </w:rPr>
        <w:t xml:space="preserve">is calculated only from the end of the third symbol, and this </w:t>
      </w:r>
      <w:r w:rsidR="00922DE2">
        <w:rPr>
          <w:lang w:val="en-GB"/>
        </w:rPr>
        <w:t>impacts</w:t>
      </w:r>
      <w:r w:rsidR="007E01E9">
        <w:rPr>
          <w:lang w:val="en-GB"/>
        </w:rPr>
        <w:t xml:space="preserve"> the number of slots that are interrupted</w:t>
      </w:r>
      <w:r w:rsidR="00922DE2">
        <w:rPr>
          <w:lang w:val="en-GB"/>
        </w:rPr>
        <w:t xml:space="preserve"> for some SCS</w:t>
      </w:r>
      <w:r w:rsidR="007E01E9">
        <w:rPr>
          <w:lang w:val="en-GB"/>
        </w:rPr>
        <w:t xml:space="preserve">. </w:t>
      </w:r>
      <w:r w:rsidR="00E9563D">
        <w:rPr>
          <w:lang w:val="en-GB"/>
        </w:rPr>
        <w:t xml:space="preserve">Table 3 below shows the delay for DCI-based switching </w:t>
      </w:r>
      <w:r w:rsidR="006278FF">
        <w:rPr>
          <w:lang w:val="en-GB"/>
        </w:rPr>
        <w:t>according to above defined worst-case scenario</w:t>
      </w:r>
      <w:r w:rsidR="00922DE2">
        <w:rPr>
          <w:lang w:val="en-GB"/>
        </w:rPr>
        <w:t xml:space="preserve"> i.e. three symbols are added on top of the BWP switching time to get the total number of interrupted slots</w:t>
      </w:r>
      <w:r w:rsidR="00E9563D">
        <w:rPr>
          <w:lang w:val="en-GB"/>
        </w:rPr>
        <w:t>.</w:t>
      </w:r>
      <w:r w:rsidR="00922DE2">
        <w:rPr>
          <w:lang w:val="en-GB"/>
        </w:rPr>
        <w:t xml:space="preserve"> Even though DCI may also occur in first or second symbol, we think it is sufficient to introduce DCI-based BWP switching delay requirements based on the worst-case scenario.</w:t>
      </w:r>
    </w:p>
    <w:p w14:paraId="0161A04E" w14:textId="4FEA3618" w:rsidR="00E9563D" w:rsidRDefault="00E9563D" w:rsidP="00E9563D">
      <w:pPr>
        <w:pStyle w:val="Caption"/>
        <w:keepNext/>
      </w:pPr>
      <w:r>
        <w:t xml:space="preserve">Table </w:t>
      </w:r>
      <w:r w:rsidR="0073092D">
        <w:fldChar w:fldCharType="begin"/>
      </w:r>
      <w:r w:rsidR="0073092D">
        <w:instrText xml:space="preserve"> SEQ Table \* ARAB</w:instrText>
      </w:r>
      <w:r w:rsidR="0073092D">
        <w:instrText xml:space="preserve">IC </w:instrText>
      </w:r>
      <w:r w:rsidR="0073092D">
        <w:fldChar w:fldCharType="separate"/>
      </w:r>
      <w:r w:rsidR="0023796F">
        <w:rPr>
          <w:noProof/>
        </w:rPr>
        <w:t>3</w:t>
      </w:r>
      <w:r w:rsidR="0073092D">
        <w:rPr>
          <w:noProof/>
        </w:rPr>
        <w:fldChar w:fldCharType="end"/>
      </w:r>
      <w:r>
        <w:t>: BWP switching delay for DCI-based switch.</w:t>
      </w:r>
    </w:p>
    <w:tbl>
      <w:tblPr>
        <w:tblStyle w:val="TableGrid"/>
        <w:tblW w:w="0" w:type="auto"/>
        <w:tblLook w:val="04A0" w:firstRow="1" w:lastRow="0" w:firstColumn="1" w:lastColumn="0" w:noHBand="0" w:noVBand="1"/>
      </w:tblPr>
      <w:tblGrid>
        <w:gridCol w:w="484"/>
        <w:gridCol w:w="863"/>
        <w:gridCol w:w="1033"/>
        <w:gridCol w:w="1034"/>
        <w:gridCol w:w="1034"/>
        <w:gridCol w:w="1034"/>
        <w:gridCol w:w="1033"/>
        <w:gridCol w:w="1034"/>
        <w:gridCol w:w="1034"/>
        <w:gridCol w:w="1034"/>
      </w:tblGrid>
      <w:tr w:rsidR="00214AA4" w14:paraId="0C804B14" w14:textId="77777777" w:rsidTr="003042E3">
        <w:tc>
          <w:tcPr>
            <w:tcW w:w="484" w:type="dxa"/>
            <w:vAlign w:val="center"/>
          </w:tcPr>
          <w:p w14:paraId="3DABF649" w14:textId="0A2B79B4" w:rsidR="00214AA4" w:rsidRPr="00214AA4" w:rsidRDefault="00214AA4" w:rsidP="00214AA4">
            <w:pPr>
              <w:jc w:val="center"/>
              <w:rPr>
                <w:rFonts w:ascii="Arial" w:hAnsi="Arial" w:cs="Arial"/>
                <w:sz w:val="18"/>
                <w:szCs w:val="18"/>
                <w:lang w:val="en-GB"/>
              </w:rPr>
            </w:pPr>
            <w:r w:rsidRPr="00214AA4">
              <w:rPr>
                <w:rFonts w:ascii="Arial" w:hAnsi="Arial" w:cs="Arial"/>
                <w:b/>
                <w:noProof/>
                <w:sz w:val="18"/>
                <w:szCs w:val="18"/>
              </w:rPr>
              <w:drawing>
                <wp:inline distT="0" distB="0" distL="0" distR="0" wp14:anchorId="40E8A769" wp14:editId="386B49C0">
                  <wp:extent cx="1524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09141C39" w14:textId="1F3703F1" w:rsidR="00214AA4" w:rsidRPr="00214AA4" w:rsidRDefault="00214AA4" w:rsidP="00214AA4">
            <w:pPr>
              <w:jc w:val="center"/>
              <w:rPr>
                <w:rFonts w:ascii="Arial" w:hAnsi="Arial" w:cs="Arial"/>
                <w:sz w:val="18"/>
                <w:szCs w:val="18"/>
                <w:lang w:val="en-GB"/>
              </w:rPr>
            </w:pPr>
            <w:r w:rsidRPr="00214AA4">
              <w:rPr>
                <w:rFonts w:ascii="Arial" w:hAnsi="Arial" w:cs="Arial"/>
                <w:b/>
                <w:sz w:val="18"/>
                <w:szCs w:val="18"/>
              </w:rPr>
              <w:t>NR Slot length (ms)</w:t>
            </w:r>
          </w:p>
        </w:tc>
        <w:tc>
          <w:tcPr>
            <w:tcW w:w="2067" w:type="dxa"/>
            <w:gridSpan w:val="2"/>
            <w:vAlign w:val="center"/>
          </w:tcPr>
          <w:p w14:paraId="638B780B" w14:textId="1C0C2E9B" w:rsidR="00214AA4" w:rsidRPr="00214AA4" w:rsidRDefault="00214AA4" w:rsidP="00214AA4">
            <w:pPr>
              <w:jc w:val="center"/>
              <w:rPr>
                <w:rFonts w:ascii="Arial" w:hAnsi="Arial" w:cs="Arial"/>
                <w:sz w:val="18"/>
                <w:szCs w:val="18"/>
                <w:lang w:val="en-GB"/>
              </w:rPr>
            </w:pPr>
            <w:r w:rsidRPr="00214AA4">
              <w:rPr>
                <w:rFonts w:ascii="Arial" w:hAnsi="Arial" w:cs="Arial"/>
                <w:b/>
                <w:sz w:val="18"/>
                <w:szCs w:val="18"/>
                <w:lang w:val="en-GB"/>
              </w:rPr>
              <w:t>Type 1 UE, Scenario 1, 2, 3</w:t>
            </w:r>
          </w:p>
        </w:tc>
        <w:tc>
          <w:tcPr>
            <w:tcW w:w="2068" w:type="dxa"/>
            <w:gridSpan w:val="2"/>
            <w:vAlign w:val="center"/>
          </w:tcPr>
          <w:p w14:paraId="788926D1" w14:textId="2680F2EE" w:rsidR="00214AA4" w:rsidRPr="00214AA4" w:rsidRDefault="00214AA4" w:rsidP="00214AA4">
            <w:pPr>
              <w:jc w:val="center"/>
              <w:rPr>
                <w:rFonts w:ascii="Arial" w:hAnsi="Arial" w:cs="Arial"/>
                <w:sz w:val="18"/>
                <w:szCs w:val="18"/>
                <w:lang w:val="en-GB"/>
              </w:rPr>
            </w:pPr>
            <w:r w:rsidRPr="00214AA4">
              <w:rPr>
                <w:rFonts w:ascii="Arial" w:hAnsi="Arial" w:cs="Arial"/>
                <w:b/>
                <w:sz w:val="18"/>
                <w:szCs w:val="18"/>
                <w:lang w:val="en-GB"/>
              </w:rPr>
              <w:t>Type 1 UE, Scenario 4</w:t>
            </w:r>
          </w:p>
        </w:tc>
        <w:tc>
          <w:tcPr>
            <w:tcW w:w="2067" w:type="dxa"/>
            <w:gridSpan w:val="2"/>
            <w:vAlign w:val="center"/>
          </w:tcPr>
          <w:p w14:paraId="40A3248D" w14:textId="26644942" w:rsidR="00214AA4" w:rsidRPr="00214AA4" w:rsidRDefault="00214AA4" w:rsidP="00214AA4">
            <w:pPr>
              <w:jc w:val="center"/>
              <w:rPr>
                <w:rFonts w:ascii="Arial" w:hAnsi="Arial" w:cs="Arial"/>
                <w:sz w:val="18"/>
                <w:szCs w:val="18"/>
                <w:lang w:val="en-GB"/>
              </w:rPr>
            </w:pPr>
            <w:r w:rsidRPr="00214AA4">
              <w:rPr>
                <w:rFonts w:ascii="Arial" w:hAnsi="Arial" w:cs="Arial"/>
                <w:b/>
                <w:sz w:val="18"/>
                <w:szCs w:val="18"/>
                <w:lang w:val="en-GB"/>
              </w:rPr>
              <w:t>Type 2 UE, Scenario 1, 2, 3</w:t>
            </w:r>
          </w:p>
        </w:tc>
        <w:tc>
          <w:tcPr>
            <w:tcW w:w="2068" w:type="dxa"/>
            <w:gridSpan w:val="2"/>
            <w:vAlign w:val="center"/>
          </w:tcPr>
          <w:p w14:paraId="4DBDFC2E" w14:textId="7367D3E9" w:rsidR="00214AA4" w:rsidRPr="00214AA4" w:rsidRDefault="00214AA4" w:rsidP="00214AA4">
            <w:pPr>
              <w:jc w:val="center"/>
              <w:rPr>
                <w:rFonts w:ascii="Arial" w:hAnsi="Arial" w:cs="Arial"/>
                <w:sz w:val="18"/>
                <w:szCs w:val="18"/>
                <w:lang w:val="en-GB"/>
              </w:rPr>
            </w:pPr>
            <w:r w:rsidRPr="00214AA4">
              <w:rPr>
                <w:rFonts w:ascii="Arial" w:hAnsi="Arial" w:cs="Arial"/>
                <w:b/>
                <w:sz w:val="18"/>
                <w:szCs w:val="18"/>
                <w:lang w:val="en-GB"/>
              </w:rPr>
              <w:t>Type 2 UE, Scenario 4</w:t>
            </w:r>
          </w:p>
        </w:tc>
      </w:tr>
      <w:tr w:rsidR="00E9563D" w14:paraId="1B8DFD2B" w14:textId="77777777" w:rsidTr="0050234B">
        <w:tc>
          <w:tcPr>
            <w:tcW w:w="484" w:type="dxa"/>
          </w:tcPr>
          <w:p w14:paraId="30CCF3FE" w14:textId="77777777" w:rsidR="00214AA4" w:rsidRPr="00214AA4" w:rsidRDefault="00214AA4" w:rsidP="0050234B">
            <w:pPr>
              <w:jc w:val="center"/>
              <w:rPr>
                <w:rFonts w:ascii="Arial" w:hAnsi="Arial" w:cs="Arial"/>
                <w:sz w:val="18"/>
                <w:szCs w:val="18"/>
              </w:rPr>
            </w:pPr>
          </w:p>
        </w:tc>
        <w:tc>
          <w:tcPr>
            <w:tcW w:w="863" w:type="dxa"/>
          </w:tcPr>
          <w:p w14:paraId="41B913D1" w14:textId="77777777" w:rsidR="00214AA4" w:rsidRPr="00214AA4" w:rsidRDefault="00214AA4" w:rsidP="0050234B">
            <w:pPr>
              <w:jc w:val="center"/>
              <w:rPr>
                <w:rFonts w:ascii="Arial" w:hAnsi="Arial" w:cs="Arial"/>
                <w:sz w:val="18"/>
                <w:szCs w:val="18"/>
              </w:rPr>
            </w:pPr>
          </w:p>
        </w:tc>
        <w:tc>
          <w:tcPr>
            <w:tcW w:w="1033" w:type="dxa"/>
          </w:tcPr>
          <w:p w14:paraId="743A09C5" w14:textId="07FEFB9A"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 xml:space="preserve">Delay </w:t>
            </w:r>
            <w:r w:rsidR="00E9563D">
              <w:rPr>
                <w:rFonts w:ascii="Arial" w:hAnsi="Arial" w:cs="Arial"/>
                <w:sz w:val="18"/>
                <w:szCs w:val="18"/>
                <w:lang w:val="en-GB"/>
              </w:rPr>
              <w:t xml:space="preserve">from slot boundary </w:t>
            </w:r>
            <w:r w:rsidRPr="00214AA4">
              <w:rPr>
                <w:rFonts w:ascii="Arial" w:hAnsi="Arial" w:cs="Arial"/>
                <w:sz w:val="18"/>
                <w:szCs w:val="18"/>
                <w:lang w:val="en-GB"/>
              </w:rPr>
              <w:t>[us]</w:t>
            </w:r>
          </w:p>
        </w:tc>
        <w:tc>
          <w:tcPr>
            <w:tcW w:w="1034" w:type="dxa"/>
          </w:tcPr>
          <w:p w14:paraId="7195CA64"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034" w:type="dxa"/>
          </w:tcPr>
          <w:p w14:paraId="1A825A0A" w14:textId="6294DD2F" w:rsidR="00214AA4" w:rsidRPr="00214AA4" w:rsidRDefault="00E9563D" w:rsidP="0050234B">
            <w:pPr>
              <w:jc w:val="center"/>
              <w:rPr>
                <w:rFonts w:ascii="Arial" w:hAnsi="Arial" w:cs="Arial"/>
                <w:sz w:val="18"/>
                <w:szCs w:val="18"/>
                <w:lang w:val="en-GB"/>
              </w:rPr>
            </w:pPr>
            <w:r w:rsidRPr="00214AA4">
              <w:rPr>
                <w:rFonts w:ascii="Arial" w:hAnsi="Arial" w:cs="Arial"/>
                <w:sz w:val="18"/>
                <w:szCs w:val="18"/>
                <w:lang w:val="en-GB"/>
              </w:rPr>
              <w:t xml:space="preserve">Delay </w:t>
            </w:r>
            <w:r>
              <w:rPr>
                <w:rFonts w:ascii="Arial" w:hAnsi="Arial" w:cs="Arial"/>
                <w:sz w:val="18"/>
                <w:szCs w:val="18"/>
                <w:lang w:val="en-GB"/>
              </w:rPr>
              <w:t xml:space="preserve">from slot boundary </w:t>
            </w:r>
            <w:r w:rsidRPr="00214AA4">
              <w:rPr>
                <w:rFonts w:ascii="Arial" w:hAnsi="Arial" w:cs="Arial"/>
                <w:sz w:val="18"/>
                <w:szCs w:val="18"/>
                <w:lang w:val="en-GB"/>
              </w:rPr>
              <w:t>[us]</w:t>
            </w:r>
          </w:p>
        </w:tc>
        <w:tc>
          <w:tcPr>
            <w:tcW w:w="1034" w:type="dxa"/>
          </w:tcPr>
          <w:p w14:paraId="15C4E0EA"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033" w:type="dxa"/>
          </w:tcPr>
          <w:p w14:paraId="3CF53C16" w14:textId="17A52C2A" w:rsidR="00214AA4" w:rsidRPr="00214AA4" w:rsidRDefault="00E9563D" w:rsidP="0050234B">
            <w:pPr>
              <w:jc w:val="center"/>
              <w:rPr>
                <w:rFonts w:ascii="Arial" w:hAnsi="Arial" w:cs="Arial"/>
                <w:sz w:val="18"/>
                <w:szCs w:val="18"/>
                <w:lang w:val="en-GB"/>
              </w:rPr>
            </w:pPr>
            <w:r w:rsidRPr="00214AA4">
              <w:rPr>
                <w:rFonts w:ascii="Arial" w:hAnsi="Arial" w:cs="Arial"/>
                <w:sz w:val="18"/>
                <w:szCs w:val="18"/>
                <w:lang w:val="en-GB"/>
              </w:rPr>
              <w:t xml:space="preserve">Delay </w:t>
            </w:r>
            <w:r>
              <w:rPr>
                <w:rFonts w:ascii="Arial" w:hAnsi="Arial" w:cs="Arial"/>
                <w:sz w:val="18"/>
                <w:szCs w:val="18"/>
                <w:lang w:val="en-GB"/>
              </w:rPr>
              <w:t xml:space="preserve">from slot boundary </w:t>
            </w:r>
            <w:r w:rsidRPr="00214AA4">
              <w:rPr>
                <w:rFonts w:ascii="Arial" w:hAnsi="Arial" w:cs="Arial"/>
                <w:sz w:val="18"/>
                <w:szCs w:val="18"/>
                <w:lang w:val="en-GB"/>
              </w:rPr>
              <w:t>[us]</w:t>
            </w:r>
          </w:p>
        </w:tc>
        <w:tc>
          <w:tcPr>
            <w:tcW w:w="1034" w:type="dxa"/>
          </w:tcPr>
          <w:p w14:paraId="270EF1FC"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034" w:type="dxa"/>
          </w:tcPr>
          <w:p w14:paraId="036609CC" w14:textId="197E8981" w:rsidR="00214AA4" w:rsidRPr="00214AA4" w:rsidRDefault="00E9563D" w:rsidP="0050234B">
            <w:pPr>
              <w:jc w:val="center"/>
              <w:rPr>
                <w:rFonts w:ascii="Arial" w:hAnsi="Arial" w:cs="Arial"/>
                <w:sz w:val="18"/>
                <w:szCs w:val="18"/>
                <w:lang w:val="en-GB"/>
              </w:rPr>
            </w:pPr>
            <w:r w:rsidRPr="00214AA4">
              <w:rPr>
                <w:rFonts w:ascii="Arial" w:hAnsi="Arial" w:cs="Arial"/>
                <w:sz w:val="18"/>
                <w:szCs w:val="18"/>
                <w:lang w:val="en-GB"/>
              </w:rPr>
              <w:t xml:space="preserve">Delay </w:t>
            </w:r>
            <w:r>
              <w:rPr>
                <w:rFonts w:ascii="Arial" w:hAnsi="Arial" w:cs="Arial"/>
                <w:sz w:val="18"/>
                <w:szCs w:val="18"/>
                <w:lang w:val="en-GB"/>
              </w:rPr>
              <w:t xml:space="preserve">from slot boundary </w:t>
            </w:r>
            <w:r w:rsidRPr="00214AA4">
              <w:rPr>
                <w:rFonts w:ascii="Arial" w:hAnsi="Arial" w:cs="Arial"/>
                <w:sz w:val="18"/>
                <w:szCs w:val="18"/>
                <w:lang w:val="en-GB"/>
              </w:rPr>
              <w:t>[us]</w:t>
            </w:r>
          </w:p>
        </w:tc>
        <w:tc>
          <w:tcPr>
            <w:tcW w:w="1034" w:type="dxa"/>
          </w:tcPr>
          <w:p w14:paraId="7C9281E4" w14:textId="77777777" w:rsidR="00214AA4" w:rsidRPr="00214AA4" w:rsidRDefault="00214AA4" w:rsidP="0050234B">
            <w:pPr>
              <w:jc w:val="center"/>
              <w:rPr>
                <w:rFonts w:ascii="Arial" w:hAnsi="Arial" w:cs="Arial"/>
                <w:sz w:val="18"/>
                <w:szCs w:val="18"/>
                <w:lang w:val="en-GB"/>
              </w:rPr>
            </w:pPr>
            <w:r w:rsidRPr="00214AA4">
              <w:rPr>
                <w:rFonts w:ascii="Arial" w:hAnsi="Arial" w:cs="Arial"/>
                <w:sz w:val="18"/>
                <w:szCs w:val="18"/>
                <w:lang w:val="en-GB"/>
              </w:rPr>
              <w:t>Delay [slots]</w:t>
            </w:r>
          </w:p>
        </w:tc>
      </w:tr>
      <w:tr w:rsidR="00214AA4" w14:paraId="1F9177AB" w14:textId="77777777" w:rsidTr="009B3F99">
        <w:tc>
          <w:tcPr>
            <w:tcW w:w="484" w:type="dxa"/>
          </w:tcPr>
          <w:p w14:paraId="31361F7B" w14:textId="77777777" w:rsidR="00214AA4" w:rsidRPr="00214AA4" w:rsidRDefault="00214AA4" w:rsidP="00214AA4">
            <w:pPr>
              <w:jc w:val="center"/>
              <w:rPr>
                <w:rFonts w:ascii="Arial" w:hAnsi="Arial" w:cs="Arial"/>
                <w:sz w:val="18"/>
                <w:szCs w:val="18"/>
                <w:lang w:val="en-GB"/>
              </w:rPr>
            </w:pPr>
            <w:r w:rsidRPr="00214AA4">
              <w:rPr>
                <w:rFonts w:ascii="Arial" w:hAnsi="Arial" w:cs="Arial"/>
                <w:sz w:val="18"/>
                <w:szCs w:val="18"/>
              </w:rPr>
              <w:t>0</w:t>
            </w:r>
          </w:p>
        </w:tc>
        <w:tc>
          <w:tcPr>
            <w:tcW w:w="863" w:type="dxa"/>
          </w:tcPr>
          <w:p w14:paraId="046288C1" w14:textId="77777777" w:rsidR="00214AA4" w:rsidRPr="00214AA4" w:rsidRDefault="00214AA4" w:rsidP="00214AA4">
            <w:pPr>
              <w:jc w:val="center"/>
              <w:rPr>
                <w:rFonts w:ascii="Arial" w:hAnsi="Arial" w:cs="Arial"/>
                <w:sz w:val="18"/>
                <w:szCs w:val="18"/>
                <w:lang w:val="en-GB"/>
              </w:rPr>
            </w:pPr>
            <w:r w:rsidRPr="00214AA4">
              <w:rPr>
                <w:rFonts w:ascii="Arial" w:hAnsi="Arial" w:cs="Arial"/>
                <w:sz w:val="18"/>
                <w:szCs w:val="18"/>
              </w:rPr>
              <w:t>1</w:t>
            </w:r>
          </w:p>
        </w:tc>
        <w:tc>
          <w:tcPr>
            <w:tcW w:w="1033" w:type="dxa"/>
          </w:tcPr>
          <w:p w14:paraId="53250A23" w14:textId="1794A2BC"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816</w:t>
            </w:r>
          </w:p>
        </w:tc>
        <w:tc>
          <w:tcPr>
            <w:tcW w:w="1034" w:type="dxa"/>
            <w:vAlign w:val="bottom"/>
          </w:tcPr>
          <w:p w14:paraId="4F02B921" w14:textId="7933EF53"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1</w:t>
            </w:r>
          </w:p>
        </w:tc>
        <w:tc>
          <w:tcPr>
            <w:tcW w:w="1034" w:type="dxa"/>
          </w:tcPr>
          <w:p w14:paraId="36850DB7" w14:textId="73065F40"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616</w:t>
            </w:r>
          </w:p>
        </w:tc>
        <w:tc>
          <w:tcPr>
            <w:tcW w:w="1034" w:type="dxa"/>
            <w:vAlign w:val="bottom"/>
          </w:tcPr>
          <w:p w14:paraId="296C0072" w14:textId="303ED44A"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1</w:t>
            </w:r>
          </w:p>
        </w:tc>
        <w:tc>
          <w:tcPr>
            <w:tcW w:w="1033" w:type="dxa"/>
          </w:tcPr>
          <w:p w14:paraId="2F59DC86" w14:textId="3B88FE7E"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2216</w:t>
            </w:r>
          </w:p>
        </w:tc>
        <w:tc>
          <w:tcPr>
            <w:tcW w:w="1034" w:type="dxa"/>
            <w:vAlign w:val="bottom"/>
          </w:tcPr>
          <w:p w14:paraId="256DC29E" w14:textId="1ABB18B8"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3</w:t>
            </w:r>
          </w:p>
        </w:tc>
        <w:tc>
          <w:tcPr>
            <w:tcW w:w="1034" w:type="dxa"/>
          </w:tcPr>
          <w:p w14:paraId="7ECFFB3D" w14:textId="1AFB56EA"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1166</w:t>
            </w:r>
          </w:p>
        </w:tc>
        <w:tc>
          <w:tcPr>
            <w:tcW w:w="1034" w:type="dxa"/>
            <w:vAlign w:val="bottom"/>
          </w:tcPr>
          <w:p w14:paraId="0BE65D2E" w14:textId="714518F4"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2</w:t>
            </w:r>
          </w:p>
        </w:tc>
      </w:tr>
      <w:tr w:rsidR="00214AA4" w14:paraId="514891D6" w14:textId="77777777" w:rsidTr="009B3F99">
        <w:tc>
          <w:tcPr>
            <w:tcW w:w="484" w:type="dxa"/>
          </w:tcPr>
          <w:p w14:paraId="2AA89950" w14:textId="77777777" w:rsidR="00214AA4" w:rsidRPr="00214AA4" w:rsidRDefault="00214AA4" w:rsidP="00214AA4">
            <w:pPr>
              <w:jc w:val="center"/>
              <w:rPr>
                <w:rFonts w:ascii="Arial" w:hAnsi="Arial" w:cs="Arial"/>
                <w:sz w:val="18"/>
                <w:szCs w:val="18"/>
                <w:lang w:val="en-GB"/>
              </w:rPr>
            </w:pPr>
            <w:r w:rsidRPr="00214AA4">
              <w:rPr>
                <w:rFonts w:ascii="Arial" w:hAnsi="Arial" w:cs="Arial"/>
                <w:sz w:val="18"/>
                <w:szCs w:val="18"/>
              </w:rPr>
              <w:t>1</w:t>
            </w:r>
          </w:p>
        </w:tc>
        <w:tc>
          <w:tcPr>
            <w:tcW w:w="863" w:type="dxa"/>
          </w:tcPr>
          <w:p w14:paraId="210E62C3" w14:textId="77777777" w:rsidR="00214AA4" w:rsidRPr="00214AA4" w:rsidRDefault="00214AA4" w:rsidP="00214AA4">
            <w:pPr>
              <w:jc w:val="center"/>
              <w:rPr>
                <w:rFonts w:ascii="Arial" w:hAnsi="Arial" w:cs="Arial"/>
                <w:sz w:val="18"/>
                <w:szCs w:val="18"/>
                <w:lang w:val="en-GB"/>
              </w:rPr>
            </w:pPr>
            <w:r w:rsidRPr="00214AA4">
              <w:rPr>
                <w:rFonts w:ascii="Arial" w:hAnsi="Arial" w:cs="Arial"/>
                <w:sz w:val="18"/>
                <w:szCs w:val="18"/>
              </w:rPr>
              <w:t>0.5</w:t>
            </w:r>
          </w:p>
        </w:tc>
        <w:tc>
          <w:tcPr>
            <w:tcW w:w="1033" w:type="dxa"/>
          </w:tcPr>
          <w:p w14:paraId="3FEF9E5E" w14:textId="3C33B4AE"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708</w:t>
            </w:r>
          </w:p>
        </w:tc>
        <w:tc>
          <w:tcPr>
            <w:tcW w:w="1034" w:type="dxa"/>
            <w:vAlign w:val="bottom"/>
          </w:tcPr>
          <w:p w14:paraId="669B5995" w14:textId="368F3A79"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2</w:t>
            </w:r>
          </w:p>
        </w:tc>
        <w:tc>
          <w:tcPr>
            <w:tcW w:w="1034" w:type="dxa"/>
          </w:tcPr>
          <w:p w14:paraId="70C8965F" w14:textId="5681205F"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508</w:t>
            </w:r>
          </w:p>
        </w:tc>
        <w:tc>
          <w:tcPr>
            <w:tcW w:w="1034" w:type="dxa"/>
            <w:vAlign w:val="bottom"/>
          </w:tcPr>
          <w:p w14:paraId="5A3DB445" w14:textId="2036851A"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2</w:t>
            </w:r>
          </w:p>
        </w:tc>
        <w:tc>
          <w:tcPr>
            <w:tcW w:w="1033" w:type="dxa"/>
          </w:tcPr>
          <w:p w14:paraId="0C399B5A" w14:textId="1197EB96"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2108</w:t>
            </w:r>
          </w:p>
        </w:tc>
        <w:tc>
          <w:tcPr>
            <w:tcW w:w="1034" w:type="dxa"/>
            <w:vAlign w:val="bottom"/>
          </w:tcPr>
          <w:p w14:paraId="19098ED5" w14:textId="585DFFCB"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5</w:t>
            </w:r>
          </w:p>
        </w:tc>
        <w:tc>
          <w:tcPr>
            <w:tcW w:w="1034" w:type="dxa"/>
          </w:tcPr>
          <w:p w14:paraId="1EB951A1" w14:textId="3741FCDD"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1058</w:t>
            </w:r>
          </w:p>
        </w:tc>
        <w:tc>
          <w:tcPr>
            <w:tcW w:w="1034" w:type="dxa"/>
            <w:vAlign w:val="bottom"/>
          </w:tcPr>
          <w:p w14:paraId="467D5592" w14:textId="70315A8C"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3</w:t>
            </w:r>
          </w:p>
        </w:tc>
      </w:tr>
      <w:tr w:rsidR="00214AA4" w14:paraId="03A614B8" w14:textId="77777777" w:rsidTr="009B3F99">
        <w:tc>
          <w:tcPr>
            <w:tcW w:w="484" w:type="dxa"/>
          </w:tcPr>
          <w:p w14:paraId="680FA9BD" w14:textId="77777777" w:rsidR="00214AA4" w:rsidRPr="00214AA4" w:rsidRDefault="00214AA4" w:rsidP="00214AA4">
            <w:pPr>
              <w:jc w:val="center"/>
              <w:rPr>
                <w:rFonts w:ascii="Arial" w:hAnsi="Arial" w:cs="Arial"/>
                <w:sz w:val="18"/>
                <w:szCs w:val="18"/>
                <w:lang w:val="en-GB"/>
              </w:rPr>
            </w:pPr>
            <w:r w:rsidRPr="00214AA4">
              <w:rPr>
                <w:rFonts w:ascii="Arial" w:hAnsi="Arial" w:cs="Arial"/>
                <w:sz w:val="18"/>
                <w:szCs w:val="18"/>
              </w:rPr>
              <w:t>2</w:t>
            </w:r>
          </w:p>
        </w:tc>
        <w:tc>
          <w:tcPr>
            <w:tcW w:w="863" w:type="dxa"/>
          </w:tcPr>
          <w:p w14:paraId="3BEFA030" w14:textId="77777777" w:rsidR="00214AA4" w:rsidRPr="00214AA4" w:rsidRDefault="00214AA4" w:rsidP="00214AA4">
            <w:pPr>
              <w:jc w:val="center"/>
              <w:rPr>
                <w:rFonts w:ascii="Arial" w:hAnsi="Arial" w:cs="Arial"/>
                <w:sz w:val="18"/>
                <w:szCs w:val="18"/>
                <w:lang w:val="en-GB"/>
              </w:rPr>
            </w:pPr>
            <w:r w:rsidRPr="00214AA4">
              <w:rPr>
                <w:rFonts w:ascii="Arial" w:hAnsi="Arial" w:cs="Arial"/>
                <w:sz w:val="18"/>
                <w:szCs w:val="18"/>
              </w:rPr>
              <w:t>0.25</w:t>
            </w:r>
          </w:p>
        </w:tc>
        <w:tc>
          <w:tcPr>
            <w:tcW w:w="1033" w:type="dxa"/>
          </w:tcPr>
          <w:p w14:paraId="72E113D2" w14:textId="26A73B66"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654</w:t>
            </w:r>
          </w:p>
        </w:tc>
        <w:tc>
          <w:tcPr>
            <w:tcW w:w="1034" w:type="dxa"/>
            <w:vAlign w:val="bottom"/>
          </w:tcPr>
          <w:p w14:paraId="3FC25CF2" w14:textId="10E56CAA"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3</w:t>
            </w:r>
          </w:p>
        </w:tc>
        <w:tc>
          <w:tcPr>
            <w:tcW w:w="1034" w:type="dxa"/>
          </w:tcPr>
          <w:p w14:paraId="1E747AEB" w14:textId="32C3BBBF"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454</w:t>
            </w:r>
          </w:p>
        </w:tc>
        <w:tc>
          <w:tcPr>
            <w:tcW w:w="1034" w:type="dxa"/>
            <w:vAlign w:val="bottom"/>
          </w:tcPr>
          <w:p w14:paraId="759C5C64" w14:textId="03D8082D"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2</w:t>
            </w:r>
          </w:p>
        </w:tc>
        <w:tc>
          <w:tcPr>
            <w:tcW w:w="1033" w:type="dxa"/>
          </w:tcPr>
          <w:p w14:paraId="0A914C10" w14:textId="0C359BBB"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2054</w:t>
            </w:r>
          </w:p>
        </w:tc>
        <w:tc>
          <w:tcPr>
            <w:tcW w:w="1034" w:type="dxa"/>
            <w:vAlign w:val="bottom"/>
          </w:tcPr>
          <w:p w14:paraId="031FAC4D" w14:textId="131D12D0"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9</w:t>
            </w:r>
          </w:p>
        </w:tc>
        <w:tc>
          <w:tcPr>
            <w:tcW w:w="1034" w:type="dxa"/>
          </w:tcPr>
          <w:p w14:paraId="7121B912" w14:textId="798E8A6A"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1004</w:t>
            </w:r>
          </w:p>
        </w:tc>
        <w:tc>
          <w:tcPr>
            <w:tcW w:w="1034" w:type="dxa"/>
            <w:vAlign w:val="bottom"/>
          </w:tcPr>
          <w:p w14:paraId="35C5E319" w14:textId="01E25F26"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5</w:t>
            </w:r>
          </w:p>
        </w:tc>
      </w:tr>
      <w:tr w:rsidR="00214AA4" w14:paraId="386DA2A8" w14:textId="77777777" w:rsidTr="009B3F99">
        <w:tc>
          <w:tcPr>
            <w:tcW w:w="484" w:type="dxa"/>
          </w:tcPr>
          <w:p w14:paraId="15759A22" w14:textId="77777777" w:rsidR="00214AA4" w:rsidRPr="00214AA4" w:rsidRDefault="00214AA4" w:rsidP="00214AA4">
            <w:pPr>
              <w:jc w:val="center"/>
              <w:rPr>
                <w:rFonts w:ascii="Arial" w:hAnsi="Arial" w:cs="Arial"/>
                <w:sz w:val="18"/>
                <w:szCs w:val="18"/>
                <w:lang w:val="en-GB"/>
              </w:rPr>
            </w:pPr>
            <w:r w:rsidRPr="00214AA4">
              <w:rPr>
                <w:rFonts w:ascii="Arial" w:hAnsi="Arial" w:cs="Arial"/>
                <w:sz w:val="18"/>
                <w:szCs w:val="18"/>
              </w:rPr>
              <w:t>3</w:t>
            </w:r>
          </w:p>
        </w:tc>
        <w:tc>
          <w:tcPr>
            <w:tcW w:w="863" w:type="dxa"/>
          </w:tcPr>
          <w:p w14:paraId="5BA6C22C" w14:textId="77777777" w:rsidR="00214AA4" w:rsidRPr="00214AA4" w:rsidRDefault="00214AA4" w:rsidP="00214AA4">
            <w:pPr>
              <w:jc w:val="center"/>
              <w:rPr>
                <w:rFonts w:ascii="Arial" w:hAnsi="Arial" w:cs="Arial"/>
                <w:sz w:val="18"/>
                <w:szCs w:val="18"/>
                <w:lang w:val="en-GB"/>
              </w:rPr>
            </w:pPr>
            <w:r w:rsidRPr="00214AA4">
              <w:rPr>
                <w:rFonts w:ascii="Arial" w:hAnsi="Arial" w:cs="Arial"/>
                <w:sz w:val="18"/>
                <w:szCs w:val="18"/>
              </w:rPr>
              <w:t>0.125</w:t>
            </w:r>
          </w:p>
        </w:tc>
        <w:tc>
          <w:tcPr>
            <w:tcW w:w="1033" w:type="dxa"/>
          </w:tcPr>
          <w:p w14:paraId="2773F830" w14:textId="789E76C4"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627</w:t>
            </w:r>
          </w:p>
        </w:tc>
        <w:tc>
          <w:tcPr>
            <w:tcW w:w="1034" w:type="dxa"/>
            <w:vAlign w:val="bottom"/>
          </w:tcPr>
          <w:p w14:paraId="270519FD" w14:textId="04E3237B"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6</w:t>
            </w:r>
          </w:p>
        </w:tc>
        <w:tc>
          <w:tcPr>
            <w:tcW w:w="1034" w:type="dxa"/>
          </w:tcPr>
          <w:p w14:paraId="09C2BC81" w14:textId="1A06630F"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427</w:t>
            </w:r>
          </w:p>
        </w:tc>
        <w:tc>
          <w:tcPr>
            <w:tcW w:w="1034" w:type="dxa"/>
            <w:vAlign w:val="bottom"/>
          </w:tcPr>
          <w:p w14:paraId="0EC6602E" w14:textId="16177964"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4</w:t>
            </w:r>
          </w:p>
        </w:tc>
        <w:tc>
          <w:tcPr>
            <w:tcW w:w="1033" w:type="dxa"/>
          </w:tcPr>
          <w:p w14:paraId="6B648AD7" w14:textId="7FA41E49"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2027</w:t>
            </w:r>
          </w:p>
        </w:tc>
        <w:tc>
          <w:tcPr>
            <w:tcW w:w="1034" w:type="dxa"/>
            <w:vAlign w:val="bottom"/>
          </w:tcPr>
          <w:p w14:paraId="0B2F5AE9" w14:textId="1687689E"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17</w:t>
            </w:r>
          </w:p>
        </w:tc>
        <w:tc>
          <w:tcPr>
            <w:tcW w:w="1034" w:type="dxa"/>
          </w:tcPr>
          <w:p w14:paraId="32BF596A" w14:textId="6C61066E"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977</w:t>
            </w:r>
          </w:p>
        </w:tc>
        <w:tc>
          <w:tcPr>
            <w:tcW w:w="1034" w:type="dxa"/>
            <w:vAlign w:val="bottom"/>
          </w:tcPr>
          <w:p w14:paraId="71D5F6E5" w14:textId="0E402B0D" w:rsidR="00214AA4" w:rsidRPr="00214AA4" w:rsidRDefault="00214AA4" w:rsidP="00214AA4">
            <w:pPr>
              <w:jc w:val="center"/>
              <w:rPr>
                <w:rFonts w:ascii="Arial" w:hAnsi="Arial" w:cs="Arial"/>
                <w:sz w:val="18"/>
                <w:szCs w:val="18"/>
                <w:lang w:val="en-GB"/>
              </w:rPr>
            </w:pPr>
            <w:r w:rsidRPr="00214AA4">
              <w:rPr>
                <w:rFonts w:ascii="Arial" w:hAnsi="Arial" w:cs="Arial"/>
                <w:color w:val="000000"/>
                <w:sz w:val="18"/>
                <w:szCs w:val="18"/>
              </w:rPr>
              <w:t>8</w:t>
            </w:r>
          </w:p>
        </w:tc>
      </w:tr>
    </w:tbl>
    <w:p w14:paraId="41529E5A" w14:textId="1991C1EF" w:rsidR="00CB0A5D" w:rsidRDefault="00CB0A5D" w:rsidP="005E4FB1">
      <w:pPr>
        <w:rPr>
          <w:lang w:val="en-GB"/>
        </w:rPr>
      </w:pPr>
    </w:p>
    <w:p w14:paraId="0EBFDED8" w14:textId="26467710" w:rsidR="00E9563D" w:rsidRDefault="00E9563D" w:rsidP="005E4FB1">
      <w:pPr>
        <w:rPr>
          <w:lang w:val="en-GB"/>
        </w:rPr>
      </w:pPr>
      <w:r>
        <w:rPr>
          <w:lang w:val="en-GB"/>
        </w:rPr>
        <w:t xml:space="preserve">In the last meetings it has been discussed whether an additional channel estimation delay is needed on top of the BWP switching delay as agreed in [2], or can the UE receive and be scheduled immediately after the BWP switch. Based on the discussion in the last meeting, it seemed agreeable to most companies that after BWP switch, the UE can be scheduled immediately, </w:t>
      </w:r>
      <w:r w:rsidR="006278FF">
        <w:rPr>
          <w:lang w:val="en-GB"/>
        </w:rPr>
        <w:t>because</w:t>
      </w:r>
      <w:r>
        <w:rPr>
          <w:lang w:val="en-GB"/>
        </w:rPr>
        <w:t xml:space="preserve"> DMRS</w:t>
      </w:r>
      <w:r w:rsidR="006278FF">
        <w:rPr>
          <w:lang w:val="en-GB"/>
        </w:rPr>
        <w:t xml:space="preserve"> are contained/included within the PDCCH and PDSCH to be decoded </w:t>
      </w:r>
      <w:r>
        <w:rPr>
          <w:lang w:val="en-GB"/>
        </w:rPr>
        <w:t>in the first slot after BWP switch.</w:t>
      </w:r>
      <w:r w:rsidR="006278FF">
        <w:rPr>
          <w:lang w:val="en-GB"/>
        </w:rPr>
        <w:t xml:space="preserve"> Therefore, </w:t>
      </w:r>
      <w:r w:rsidR="00633B08">
        <w:rPr>
          <w:lang w:val="en-GB"/>
        </w:rPr>
        <w:t xml:space="preserve">it is assumed that the </w:t>
      </w:r>
      <w:r w:rsidR="006278FF">
        <w:rPr>
          <w:lang w:val="en-GB"/>
        </w:rPr>
        <w:t xml:space="preserve">channel estimation </w:t>
      </w:r>
      <w:r w:rsidR="007F5D36">
        <w:rPr>
          <w:lang w:val="en-GB"/>
        </w:rPr>
        <w:t>can be extracted based on the</w:t>
      </w:r>
      <w:r w:rsidR="006278FF">
        <w:rPr>
          <w:lang w:val="en-GB"/>
        </w:rPr>
        <w:t xml:space="preserve"> propagation channel parameters from </w:t>
      </w:r>
      <w:r w:rsidR="00684325">
        <w:rPr>
          <w:lang w:val="en-GB"/>
        </w:rPr>
        <w:t>source</w:t>
      </w:r>
      <w:r w:rsidR="006278FF">
        <w:rPr>
          <w:lang w:val="en-GB"/>
        </w:rPr>
        <w:t xml:space="preserve"> BWP</w:t>
      </w:r>
      <w:r w:rsidR="00922DE2">
        <w:rPr>
          <w:lang w:val="en-GB"/>
        </w:rPr>
        <w:t xml:space="preserve"> a</w:t>
      </w:r>
      <w:r w:rsidR="007F5D36">
        <w:rPr>
          <w:lang w:val="en-GB"/>
        </w:rPr>
        <w:t>nd this</w:t>
      </w:r>
      <w:r w:rsidR="006278FF">
        <w:rPr>
          <w:lang w:val="en-GB"/>
        </w:rPr>
        <w:t xml:space="preserve"> appl</w:t>
      </w:r>
      <w:r w:rsidR="00922DE2">
        <w:rPr>
          <w:lang w:val="en-GB"/>
        </w:rPr>
        <w:t>ies</w:t>
      </w:r>
      <w:r w:rsidR="006278FF">
        <w:rPr>
          <w:lang w:val="en-GB"/>
        </w:rPr>
        <w:t xml:space="preserve"> after the switch in </w:t>
      </w:r>
      <w:r w:rsidR="00684325">
        <w:rPr>
          <w:lang w:val="en-GB"/>
        </w:rPr>
        <w:t>the target</w:t>
      </w:r>
      <w:r w:rsidR="006278FF">
        <w:rPr>
          <w:lang w:val="en-GB"/>
        </w:rPr>
        <w:t xml:space="preserve"> BWP, if both BWPs are transmitted from the same TRP.</w:t>
      </w:r>
      <w:r>
        <w:rPr>
          <w:lang w:val="en-GB"/>
        </w:rPr>
        <w:t xml:space="preserve"> With this </w:t>
      </w:r>
      <w:r w:rsidR="007F5D36">
        <w:rPr>
          <w:lang w:val="en-GB"/>
        </w:rPr>
        <w:t>assumption</w:t>
      </w:r>
      <w:r>
        <w:rPr>
          <w:lang w:val="en-GB"/>
        </w:rPr>
        <w:t>,</w:t>
      </w:r>
      <w:r w:rsidR="006278FF">
        <w:rPr>
          <w:lang w:val="en-GB"/>
        </w:rPr>
        <w:t xml:space="preserve"> </w:t>
      </w:r>
      <w:r w:rsidR="007F5D36">
        <w:rPr>
          <w:lang w:val="en-GB"/>
        </w:rPr>
        <w:t xml:space="preserve">there is </w:t>
      </w:r>
      <w:r w:rsidR="006278FF">
        <w:rPr>
          <w:lang w:val="en-GB"/>
        </w:rPr>
        <w:t>no addition</w:t>
      </w:r>
      <w:r w:rsidR="007F5D36">
        <w:rPr>
          <w:lang w:val="en-GB"/>
        </w:rPr>
        <w:t>al</w:t>
      </w:r>
      <w:r w:rsidR="006278FF">
        <w:rPr>
          <w:lang w:val="en-GB"/>
        </w:rPr>
        <w:t xml:space="preserve"> RRM delay</w:t>
      </w:r>
      <w:r w:rsidR="007F5D36">
        <w:rPr>
          <w:lang w:val="en-GB"/>
        </w:rPr>
        <w:t xml:space="preserve"> following a BWP switch</w:t>
      </w:r>
      <w:r w:rsidR="006278FF">
        <w:rPr>
          <w:lang w:val="en-GB"/>
        </w:rPr>
        <w:t>,</w:t>
      </w:r>
      <w:r>
        <w:rPr>
          <w:lang w:val="en-GB"/>
        </w:rPr>
        <w:t xml:space="preserve"> </w:t>
      </w:r>
      <w:r w:rsidR="007877A6">
        <w:rPr>
          <w:lang w:val="en-GB"/>
        </w:rPr>
        <w:t xml:space="preserve">and </w:t>
      </w:r>
      <w:r>
        <w:rPr>
          <w:lang w:val="en-GB"/>
        </w:rPr>
        <w:t xml:space="preserve">the BWP switching delays as calculated in Table 2 and Table 3 should be </w:t>
      </w:r>
      <w:r w:rsidR="006278FF">
        <w:rPr>
          <w:lang w:val="en-GB"/>
        </w:rPr>
        <w:t>adopted</w:t>
      </w:r>
      <w:r>
        <w:rPr>
          <w:lang w:val="en-GB"/>
        </w:rPr>
        <w:t xml:space="preserve">. </w:t>
      </w:r>
    </w:p>
    <w:p w14:paraId="7F3AD9CF" w14:textId="5C042D91" w:rsidR="00BA15D6" w:rsidRPr="00BA15D6" w:rsidRDefault="00BA15D6" w:rsidP="00BA15D6">
      <w:pPr>
        <w:pStyle w:val="RAN4proposal"/>
        <w:rPr>
          <w:lang w:val="en-GB"/>
        </w:rPr>
      </w:pPr>
      <w:r>
        <w:rPr>
          <w:lang w:val="en-GB"/>
        </w:rPr>
        <w:t xml:space="preserve">Additional channel estimation delay is not </w:t>
      </w:r>
      <w:r w:rsidR="0043146D">
        <w:rPr>
          <w:lang w:val="en-GB"/>
        </w:rPr>
        <w:t xml:space="preserve">needed in </w:t>
      </w:r>
      <w:r>
        <w:rPr>
          <w:lang w:val="en-GB"/>
        </w:rPr>
        <w:t>add</w:t>
      </w:r>
      <w:r w:rsidR="0043146D">
        <w:rPr>
          <w:lang w:val="en-GB"/>
        </w:rPr>
        <w:t>ition</w:t>
      </w:r>
      <w:r>
        <w:rPr>
          <w:lang w:val="en-GB"/>
        </w:rPr>
        <w:t xml:space="preserve"> </w:t>
      </w:r>
      <w:r w:rsidR="0043146D">
        <w:rPr>
          <w:lang w:val="en-GB"/>
        </w:rPr>
        <w:t>to the</w:t>
      </w:r>
      <w:r>
        <w:rPr>
          <w:lang w:val="en-GB"/>
        </w:rPr>
        <w:t xml:space="preserve"> BWP switching delay requirements. </w:t>
      </w:r>
    </w:p>
    <w:p w14:paraId="1A489310" w14:textId="1541132D" w:rsidR="00BE49C6" w:rsidRDefault="00E9563D" w:rsidP="005E4FB1">
      <w:pPr>
        <w:rPr>
          <w:lang w:val="en-GB"/>
        </w:rPr>
      </w:pPr>
      <w:r>
        <w:rPr>
          <w:lang w:val="en-GB"/>
        </w:rPr>
        <w:t>However, it remained unclear whether there are any restrictions for scheduling considering the MCS that can be used immediately after BWP switch.</w:t>
      </w:r>
      <w:r w:rsidR="00BA15D6">
        <w:rPr>
          <w:lang w:val="en-GB"/>
        </w:rPr>
        <w:t xml:space="preserve"> RAN4 should discuss whether any restrictions are needed, and how the requirements should be formulated in case only lower MCS can be used for some time after BWP switch.</w:t>
      </w:r>
      <w:r w:rsidR="006278FF">
        <w:rPr>
          <w:lang w:val="en-GB"/>
        </w:rPr>
        <w:t xml:space="preserve"> For example, due to </w:t>
      </w:r>
      <w:r w:rsidR="00684325">
        <w:rPr>
          <w:lang w:val="en-GB"/>
        </w:rPr>
        <w:t xml:space="preserve">large BW difference of source BWP and target BWP, the estimated propagation parameters and therefore channel estimate may not be fully ideal. </w:t>
      </w:r>
      <w:r w:rsidR="006278FF">
        <w:rPr>
          <w:lang w:val="en-GB"/>
        </w:rPr>
        <w:t xml:space="preserve"> </w:t>
      </w:r>
      <w:r w:rsidR="00BA15D6">
        <w:rPr>
          <w:lang w:val="en-GB"/>
        </w:rPr>
        <w:t xml:space="preserve"> </w:t>
      </w:r>
    </w:p>
    <w:p w14:paraId="135ED674" w14:textId="0F5C67CF" w:rsidR="00BE49C6" w:rsidRDefault="00BA15D6" w:rsidP="00BA15D6">
      <w:pPr>
        <w:pStyle w:val="RAN4proposal"/>
        <w:rPr>
          <w:lang w:val="en-GB"/>
        </w:rPr>
      </w:pPr>
      <w:r>
        <w:rPr>
          <w:lang w:val="en-GB"/>
        </w:rPr>
        <w:t>RAN4 shall discuss whether there are any scheduling restrictions after BWP switch.</w:t>
      </w:r>
    </w:p>
    <w:p w14:paraId="670729D1" w14:textId="146CA480" w:rsidR="00BA15D6" w:rsidRDefault="00BA15D6" w:rsidP="00BA15D6">
      <w:pPr>
        <w:rPr>
          <w:lang w:val="en-GB"/>
        </w:rPr>
      </w:pPr>
      <w:r>
        <w:rPr>
          <w:lang w:val="en-GB"/>
        </w:rPr>
        <w:t>Such restrictions should anyhow not be part of the BWP switching delay, so we propose to use the values from Table 2 for timer-based BWP switching delay and values from Table 3 for DCI-based BWP switching delay.</w:t>
      </w:r>
    </w:p>
    <w:p w14:paraId="26EF7CCC" w14:textId="1D171DB8" w:rsidR="00BA15D6" w:rsidRDefault="00BA15D6" w:rsidP="00BA15D6">
      <w:pPr>
        <w:pStyle w:val="RAN4proposal"/>
        <w:rPr>
          <w:lang w:val="en-GB"/>
        </w:rPr>
      </w:pPr>
      <w:r>
        <w:rPr>
          <w:lang w:val="en-GB"/>
        </w:rPr>
        <w:t>For timer-based BWP switching delay, use the following values:</w:t>
      </w:r>
    </w:p>
    <w:tbl>
      <w:tblPr>
        <w:tblStyle w:val="TableGrid"/>
        <w:tblW w:w="0" w:type="auto"/>
        <w:tblInd w:w="765" w:type="dxa"/>
        <w:tblLook w:val="04A0" w:firstRow="1" w:lastRow="0" w:firstColumn="1" w:lastColumn="0" w:noHBand="0" w:noVBand="1"/>
      </w:tblPr>
      <w:tblGrid>
        <w:gridCol w:w="483"/>
        <w:gridCol w:w="863"/>
        <w:gridCol w:w="1626"/>
        <w:gridCol w:w="1701"/>
        <w:gridCol w:w="1701"/>
        <w:gridCol w:w="1701"/>
      </w:tblGrid>
      <w:tr w:rsidR="00BA15D6" w14:paraId="0EB79F5A" w14:textId="77777777" w:rsidTr="00BA15D6">
        <w:tc>
          <w:tcPr>
            <w:tcW w:w="483" w:type="dxa"/>
            <w:vAlign w:val="center"/>
          </w:tcPr>
          <w:p w14:paraId="6B34D2D5" w14:textId="77777777" w:rsidR="00BA15D6" w:rsidRPr="00214AA4" w:rsidRDefault="00BA15D6" w:rsidP="0050234B">
            <w:pPr>
              <w:jc w:val="center"/>
              <w:rPr>
                <w:rFonts w:ascii="Arial" w:hAnsi="Arial" w:cs="Arial"/>
                <w:b/>
                <w:sz w:val="18"/>
                <w:szCs w:val="18"/>
                <w:lang w:val="en-GB"/>
              </w:rPr>
            </w:pPr>
            <w:r w:rsidRPr="00214AA4">
              <w:rPr>
                <w:rFonts w:ascii="Arial" w:hAnsi="Arial" w:cs="Arial"/>
                <w:b/>
                <w:noProof/>
                <w:sz w:val="18"/>
                <w:szCs w:val="18"/>
              </w:rPr>
              <w:drawing>
                <wp:inline distT="0" distB="0" distL="0" distR="0" wp14:anchorId="490E7298" wp14:editId="4A4F1C4A">
                  <wp:extent cx="152400" cy="152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64892A57"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rPr>
              <w:t>NR Slot length (ms)</w:t>
            </w:r>
          </w:p>
        </w:tc>
        <w:tc>
          <w:tcPr>
            <w:tcW w:w="1626" w:type="dxa"/>
            <w:vAlign w:val="center"/>
          </w:tcPr>
          <w:p w14:paraId="7D2A3A45"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lang w:val="en-GB"/>
              </w:rPr>
              <w:t>Type 1 UE, Scenario 1, 2, 3</w:t>
            </w:r>
          </w:p>
        </w:tc>
        <w:tc>
          <w:tcPr>
            <w:tcW w:w="1701" w:type="dxa"/>
            <w:vAlign w:val="center"/>
          </w:tcPr>
          <w:p w14:paraId="580A7422"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lang w:val="en-GB"/>
              </w:rPr>
              <w:t>Type 1 UE, Scenario 4</w:t>
            </w:r>
          </w:p>
        </w:tc>
        <w:tc>
          <w:tcPr>
            <w:tcW w:w="1701" w:type="dxa"/>
            <w:vAlign w:val="center"/>
          </w:tcPr>
          <w:p w14:paraId="24161AFD"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lang w:val="en-GB"/>
              </w:rPr>
              <w:t>Type 2 UE, Scenario 1, 2, 3</w:t>
            </w:r>
          </w:p>
        </w:tc>
        <w:tc>
          <w:tcPr>
            <w:tcW w:w="1701" w:type="dxa"/>
            <w:vAlign w:val="center"/>
          </w:tcPr>
          <w:p w14:paraId="7F161F31"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lang w:val="en-GB"/>
              </w:rPr>
              <w:t>Type 2 UE, Scenario 4</w:t>
            </w:r>
          </w:p>
        </w:tc>
      </w:tr>
      <w:tr w:rsidR="00BA15D6" w14:paraId="6D53C5CF" w14:textId="77777777" w:rsidTr="00BA15D6">
        <w:tc>
          <w:tcPr>
            <w:tcW w:w="483" w:type="dxa"/>
          </w:tcPr>
          <w:p w14:paraId="3568FF9C" w14:textId="77777777" w:rsidR="00BA15D6" w:rsidRPr="00214AA4" w:rsidRDefault="00BA15D6" w:rsidP="0050234B">
            <w:pPr>
              <w:jc w:val="center"/>
              <w:rPr>
                <w:rFonts w:ascii="Arial" w:hAnsi="Arial" w:cs="Arial"/>
                <w:sz w:val="18"/>
                <w:szCs w:val="18"/>
              </w:rPr>
            </w:pPr>
          </w:p>
        </w:tc>
        <w:tc>
          <w:tcPr>
            <w:tcW w:w="863" w:type="dxa"/>
          </w:tcPr>
          <w:p w14:paraId="1822DB31" w14:textId="77777777" w:rsidR="00BA15D6" w:rsidRPr="00214AA4" w:rsidRDefault="00BA15D6" w:rsidP="0050234B">
            <w:pPr>
              <w:jc w:val="center"/>
              <w:rPr>
                <w:rFonts w:ascii="Arial" w:hAnsi="Arial" w:cs="Arial"/>
                <w:sz w:val="18"/>
                <w:szCs w:val="18"/>
              </w:rPr>
            </w:pPr>
          </w:p>
        </w:tc>
        <w:tc>
          <w:tcPr>
            <w:tcW w:w="1626" w:type="dxa"/>
          </w:tcPr>
          <w:p w14:paraId="7FF45D1D"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4850C748"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5B073F24"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79CA9F72"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lang w:val="en-GB"/>
              </w:rPr>
              <w:t>Delay [slots]</w:t>
            </w:r>
          </w:p>
        </w:tc>
      </w:tr>
      <w:tr w:rsidR="00BA15D6" w14:paraId="5EE697DD" w14:textId="77777777" w:rsidTr="00BA15D6">
        <w:tc>
          <w:tcPr>
            <w:tcW w:w="483" w:type="dxa"/>
          </w:tcPr>
          <w:p w14:paraId="41D87788"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rPr>
              <w:t>0</w:t>
            </w:r>
          </w:p>
        </w:tc>
        <w:tc>
          <w:tcPr>
            <w:tcW w:w="863" w:type="dxa"/>
          </w:tcPr>
          <w:p w14:paraId="286E7473"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rPr>
              <w:t>1</w:t>
            </w:r>
          </w:p>
        </w:tc>
        <w:tc>
          <w:tcPr>
            <w:tcW w:w="1626" w:type="dxa"/>
            <w:vAlign w:val="bottom"/>
          </w:tcPr>
          <w:p w14:paraId="3F42F9F7"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44620047"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7778C0B0"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037C9ED9"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1</w:t>
            </w:r>
          </w:p>
        </w:tc>
      </w:tr>
      <w:tr w:rsidR="00BA15D6" w14:paraId="403E90A3" w14:textId="77777777" w:rsidTr="00BA15D6">
        <w:tc>
          <w:tcPr>
            <w:tcW w:w="483" w:type="dxa"/>
          </w:tcPr>
          <w:p w14:paraId="4F5CD97E"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rPr>
              <w:t>1</w:t>
            </w:r>
          </w:p>
        </w:tc>
        <w:tc>
          <w:tcPr>
            <w:tcW w:w="863" w:type="dxa"/>
          </w:tcPr>
          <w:p w14:paraId="3810994E"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rPr>
              <w:t>0.5</w:t>
            </w:r>
          </w:p>
        </w:tc>
        <w:tc>
          <w:tcPr>
            <w:tcW w:w="1626" w:type="dxa"/>
            <w:vAlign w:val="bottom"/>
          </w:tcPr>
          <w:p w14:paraId="03A4FC77"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2B0E008D"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213519B3"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4</w:t>
            </w:r>
          </w:p>
        </w:tc>
        <w:tc>
          <w:tcPr>
            <w:tcW w:w="1701" w:type="dxa"/>
            <w:vAlign w:val="bottom"/>
          </w:tcPr>
          <w:p w14:paraId="468D929E"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2</w:t>
            </w:r>
          </w:p>
        </w:tc>
      </w:tr>
      <w:tr w:rsidR="00BA15D6" w14:paraId="66180DFC" w14:textId="77777777" w:rsidTr="00BA15D6">
        <w:tc>
          <w:tcPr>
            <w:tcW w:w="483" w:type="dxa"/>
          </w:tcPr>
          <w:p w14:paraId="3B3FA3DE"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rPr>
              <w:t>2</w:t>
            </w:r>
          </w:p>
        </w:tc>
        <w:tc>
          <w:tcPr>
            <w:tcW w:w="863" w:type="dxa"/>
          </w:tcPr>
          <w:p w14:paraId="137E4FA5"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rPr>
              <w:t>0.25</w:t>
            </w:r>
          </w:p>
        </w:tc>
        <w:tc>
          <w:tcPr>
            <w:tcW w:w="1626" w:type="dxa"/>
            <w:vAlign w:val="bottom"/>
          </w:tcPr>
          <w:p w14:paraId="08F1B18D"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7FFEA5D6"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4189B5AF"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8</w:t>
            </w:r>
          </w:p>
        </w:tc>
        <w:tc>
          <w:tcPr>
            <w:tcW w:w="1701" w:type="dxa"/>
            <w:vAlign w:val="bottom"/>
          </w:tcPr>
          <w:p w14:paraId="6E73A89A"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4</w:t>
            </w:r>
          </w:p>
        </w:tc>
      </w:tr>
      <w:tr w:rsidR="00BA15D6" w14:paraId="4D90DA2B" w14:textId="77777777" w:rsidTr="00BA15D6">
        <w:tc>
          <w:tcPr>
            <w:tcW w:w="483" w:type="dxa"/>
          </w:tcPr>
          <w:p w14:paraId="43DD6812"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rPr>
              <w:t>3</w:t>
            </w:r>
          </w:p>
        </w:tc>
        <w:tc>
          <w:tcPr>
            <w:tcW w:w="863" w:type="dxa"/>
          </w:tcPr>
          <w:p w14:paraId="1FEE471E"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rPr>
              <w:t>0.125</w:t>
            </w:r>
          </w:p>
        </w:tc>
        <w:tc>
          <w:tcPr>
            <w:tcW w:w="1626" w:type="dxa"/>
            <w:vAlign w:val="bottom"/>
          </w:tcPr>
          <w:p w14:paraId="76F03362"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5</w:t>
            </w:r>
          </w:p>
        </w:tc>
        <w:tc>
          <w:tcPr>
            <w:tcW w:w="1701" w:type="dxa"/>
            <w:vAlign w:val="bottom"/>
          </w:tcPr>
          <w:p w14:paraId="554550A7"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4</w:t>
            </w:r>
          </w:p>
        </w:tc>
        <w:tc>
          <w:tcPr>
            <w:tcW w:w="1701" w:type="dxa"/>
            <w:vAlign w:val="bottom"/>
          </w:tcPr>
          <w:p w14:paraId="65FD8423"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16</w:t>
            </w:r>
          </w:p>
        </w:tc>
        <w:tc>
          <w:tcPr>
            <w:tcW w:w="1701" w:type="dxa"/>
            <w:vAlign w:val="bottom"/>
          </w:tcPr>
          <w:p w14:paraId="608AF2C8" w14:textId="77777777" w:rsidR="00BA15D6" w:rsidRPr="00214AA4" w:rsidRDefault="00BA15D6" w:rsidP="0050234B">
            <w:pPr>
              <w:jc w:val="center"/>
              <w:rPr>
                <w:rFonts w:ascii="Arial" w:hAnsi="Arial" w:cs="Arial"/>
                <w:sz w:val="18"/>
                <w:szCs w:val="18"/>
                <w:lang w:val="en-GB"/>
              </w:rPr>
            </w:pPr>
            <w:r w:rsidRPr="00214AA4">
              <w:rPr>
                <w:rFonts w:ascii="Arial" w:hAnsi="Arial" w:cs="Arial"/>
                <w:color w:val="000000"/>
                <w:sz w:val="18"/>
                <w:szCs w:val="18"/>
              </w:rPr>
              <w:t>8</w:t>
            </w:r>
          </w:p>
        </w:tc>
      </w:tr>
    </w:tbl>
    <w:p w14:paraId="1ADBDD42" w14:textId="1B35B3BD" w:rsidR="00BA15D6" w:rsidRDefault="00BA15D6" w:rsidP="00BA15D6">
      <w:pPr>
        <w:rPr>
          <w:lang w:val="en-GB"/>
        </w:rPr>
      </w:pPr>
    </w:p>
    <w:p w14:paraId="763D12FA" w14:textId="57888554" w:rsidR="00BA15D6" w:rsidRDefault="00BA15D6" w:rsidP="00BA15D6">
      <w:pPr>
        <w:pStyle w:val="RAN4proposal"/>
        <w:rPr>
          <w:lang w:val="en-GB"/>
        </w:rPr>
      </w:pPr>
      <w:r>
        <w:rPr>
          <w:lang w:val="en-GB"/>
        </w:rPr>
        <w:t>For DCI-based BWP switching delay, use the following values:</w:t>
      </w:r>
    </w:p>
    <w:tbl>
      <w:tblPr>
        <w:tblStyle w:val="TableGrid"/>
        <w:tblW w:w="0" w:type="auto"/>
        <w:tblInd w:w="765" w:type="dxa"/>
        <w:tblLook w:val="04A0" w:firstRow="1" w:lastRow="0" w:firstColumn="1" w:lastColumn="0" w:noHBand="0" w:noVBand="1"/>
      </w:tblPr>
      <w:tblGrid>
        <w:gridCol w:w="483"/>
        <w:gridCol w:w="863"/>
        <w:gridCol w:w="1626"/>
        <w:gridCol w:w="1701"/>
        <w:gridCol w:w="1701"/>
        <w:gridCol w:w="1701"/>
      </w:tblGrid>
      <w:tr w:rsidR="00BA15D6" w14:paraId="1B57B159" w14:textId="77777777" w:rsidTr="0050234B">
        <w:tc>
          <w:tcPr>
            <w:tcW w:w="483" w:type="dxa"/>
            <w:vAlign w:val="center"/>
          </w:tcPr>
          <w:p w14:paraId="505521C2" w14:textId="77777777" w:rsidR="00BA15D6" w:rsidRPr="00214AA4" w:rsidRDefault="00BA15D6" w:rsidP="0050234B">
            <w:pPr>
              <w:jc w:val="center"/>
              <w:rPr>
                <w:rFonts w:ascii="Arial" w:hAnsi="Arial" w:cs="Arial"/>
                <w:b/>
                <w:sz w:val="18"/>
                <w:szCs w:val="18"/>
                <w:lang w:val="en-GB"/>
              </w:rPr>
            </w:pPr>
            <w:r w:rsidRPr="00214AA4">
              <w:rPr>
                <w:rFonts w:ascii="Arial" w:hAnsi="Arial" w:cs="Arial"/>
                <w:b/>
                <w:noProof/>
                <w:sz w:val="18"/>
                <w:szCs w:val="18"/>
              </w:rPr>
              <w:lastRenderedPageBreak/>
              <w:drawing>
                <wp:inline distT="0" distB="0" distL="0" distR="0" wp14:anchorId="640A513A" wp14:editId="7ADB05FE">
                  <wp:extent cx="1524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6CFCEBF4"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rPr>
              <w:t>NR Slot length (ms)</w:t>
            </w:r>
          </w:p>
        </w:tc>
        <w:tc>
          <w:tcPr>
            <w:tcW w:w="1626" w:type="dxa"/>
            <w:vAlign w:val="center"/>
          </w:tcPr>
          <w:p w14:paraId="3DF4ED85"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lang w:val="en-GB"/>
              </w:rPr>
              <w:t>Type 1 UE, Scenario 1, 2, 3</w:t>
            </w:r>
          </w:p>
        </w:tc>
        <w:tc>
          <w:tcPr>
            <w:tcW w:w="1701" w:type="dxa"/>
            <w:vAlign w:val="center"/>
          </w:tcPr>
          <w:p w14:paraId="7848E726"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lang w:val="en-GB"/>
              </w:rPr>
              <w:t>Type 1 UE, Scenario 4</w:t>
            </w:r>
          </w:p>
        </w:tc>
        <w:tc>
          <w:tcPr>
            <w:tcW w:w="1701" w:type="dxa"/>
            <w:vAlign w:val="center"/>
          </w:tcPr>
          <w:p w14:paraId="1FD882DC"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lang w:val="en-GB"/>
              </w:rPr>
              <w:t>Type 2 UE, Scenario 1, 2, 3</w:t>
            </w:r>
          </w:p>
        </w:tc>
        <w:tc>
          <w:tcPr>
            <w:tcW w:w="1701" w:type="dxa"/>
            <w:vAlign w:val="center"/>
          </w:tcPr>
          <w:p w14:paraId="5020F4AF" w14:textId="77777777" w:rsidR="00BA15D6" w:rsidRPr="00214AA4" w:rsidRDefault="00BA15D6" w:rsidP="0050234B">
            <w:pPr>
              <w:jc w:val="center"/>
              <w:rPr>
                <w:rFonts w:ascii="Arial" w:hAnsi="Arial" w:cs="Arial"/>
                <w:b/>
                <w:sz w:val="18"/>
                <w:szCs w:val="18"/>
                <w:lang w:val="en-GB"/>
              </w:rPr>
            </w:pPr>
            <w:r w:rsidRPr="00214AA4">
              <w:rPr>
                <w:rFonts w:ascii="Arial" w:hAnsi="Arial" w:cs="Arial"/>
                <w:b/>
                <w:sz w:val="18"/>
                <w:szCs w:val="18"/>
                <w:lang w:val="en-GB"/>
              </w:rPr>
              <w:t>Type 2 UE, Scenario 4</w:t>
            </w:r>
          </w:p>
        </w:tc>
      </w:tr>
      <w:tr w:rsidR="00BA15D6" w14:paraId="75530C1C" w14:textId="77777777" w:rsidTr="0050234B">
        <w:tc>
          <w:tcPr>
            <w:tcW w:w="483" w:type="dxa"/>
          </w:tcPr>
          <w:p w14:paraId="0E3B59A9" w14:textId="77777777" w:rsidR="00BA15D6" w:rsidRPr="00214AA4" w:rsidRDefault="00BA15D6" w:rsidP="0050234B">
            <w:pPr>
              <w:jc w:val="center"/>
              <w:rPr>
                <w:rFonts w:ascii="Arial" w:hAnsi="Arial" w:cs="Arial"/>
                <w:sz w:val="18"/>
                <w:szCs w:val="18"/>
              </w:rPr>
            </w:pPr>
          </w:p>
        </w:tc>
        <w:tc>
          <w:tcPr>
            <w:tcW w:w="863" w:type="dxa"/>
          </w:tcPr>
          <w:p w14:paraId="15EB4FF6" w14:textId="77777777" w:rsidR="00BA15D6" w:rsidRPr="00214AA4" w:rsidRDefault="00BA15D6" w:rsidP="0050234B">
            <w:pPr>
              <w:jc w:val="center"/>
              <w:rPr>
                <w:rFonts w:ascii="Arial" w:hAnsi="Arial" w:cs="Arial"/>
                <w:sz w:val="18"/>
                <w:szCs w:val="18"/>
              </w:rPr>
            </w:pPr>
          </w:p>
        </w:tc>
        <w:tc>
          <w:tcPr>
            <w:tcW w:w="1626" w:type="dxa"/>
          </w:tcPr>
          <w:p w14:paraId="7F67403E"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37188D59"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43F36EDE"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6CF104D3" w14:textId="77777777" w:rsidR="00BA15D6" w:rsidRPr="00214AA4" w:rsidRDefault="00BA15D6" w:rsidP="0050234B">
            <w:pPr>
              <w:jc w:val="center"/>
              <w:rPr>
                <w:rFonts w:ascii="Arial" w:hAnsi="Arial" w:cs="Arial"/>
                <w:sz w:val="18"/>
                <w:szCs w:val="18"/>
                <w:lang w:val="en-GB"/>
              </w:rPr>
            </w:pPr>
            <w:r w:rsidRPr="00214AA4">
              <w:rPr>
                <w:rFonts w:ascii="Arial" w:hAnsi="Arial" w:cs="Arial"/>
                <w:sz w:val="18"/>
                <w:szCs w:val="18"/>
                <w:lang w:val="en-GB"/>
              </w:rPr>
              <w:t>Delay [slots]</w:t>
            </w:r>
          </w:p>
        </w:tc>
      </w:tr>
      <w:tr w:rsidR="00BA15D6" w14:paraId="7D0A866C" w14:textId="77777777" w:rsidTr="0050234B">
        <w:tc>
          <w:tcPr>
            <w:tcW w:w="483" w:type="dxa"/>
          </w:tcPr>
          <w:p w14:paraId="0E0478F3" w14:textId="77777777" w:rsidR="00BA15D6" w:rsidRPr="00214AA4" w:rsidRDefault="00BA15D6" w:rsidP="00BA15D6">
            <w:pPr>
              <w:jc w:val="center"/>
              <w:rPr>
                <w:rFonts w:ascii="Arial" w:hAnsi="Arial" w:cs="Arial"/>
                <w:sz w:val="18"/>
                <w:szCs w:val="18"/>
                <w:lang w:val="en-GB"/>
              </w:rPr>
            </w:pPr>
            <w:r w:rsidRPr="00214AA4">
              <w:rPr>
                <w:rFonts w:ascii="Arial" w:hAnsi="Arial" w:cs="Arial"/>
                <w:sz w:val="18"/>
                <w:szCs w:val="18"/>
              </w:rPr>
              <w:t>0</w:t>
            </w:r>
          </w:p>
        </w:tc>
        <w:tc>
          <w:tcPr>
            <w:tcW w:w="863" w:type="dxa"/>
          </w:tcPr>
          <w:p w14:paraId="5CA0AF9C" w14:textId="77777777" w:rsidR="00BA15D6" w:rsidRPr="00214AA4" w:rsidRDefault="00BA15D6" w:rsidP="00BA15D6">
            <w:pPr>
              <w:jc w:val="center"/>
              <w:rPr>
                <w:rFonts w:ascii="Arial" w:hAnsi="Arial" w:cs="Arial"/>
                <w:sz w:val="18"/>
                <w:szCs w:val="18"/>
                <w:lang w:val="en-GB"/>
              </w:rPr>
            </w:pPr>
            <w:r w:rsidRPr="00214AA4">
              <w:rPr>
                <w:rFonts w:ascii="Arial" w:hAnsi="Arial" w:cs="Arial"/>
                <w:sz w:val="18"/>
                <w:szCs w:val="18"/>
              </w:rPr>
              <w:t>1</w:t>
            </w:r>
          </w:p>
        </w:tc>
        <w:tc>
          <w:tcPr>
            <w:tcW w:w="1626" w:type="dxa"/>
            <w:vAlign w:val="bottom"/>
          </w:tcPr>
          <w:p w14:paraId="1B7DC964" w14:textId="26FFF02B"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43A3D360" w14:textId="37F6CBE1"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7EF0DFBD" w14:textId="70F1AA6D"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79C45C01" w14:textId="593AD5BD"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2</w:t>
            </w:r>
          </w:p>
        </w:tc>
      </w:tr>
      <w:tr w:rsidR="00BA15D6" w14:paraId="125EF1B6" w14:textId="77777777" w:rsidTr="0050234B">
        <w:tc>
          <w:tcPr>
            <w:tcW w:w="483" w:type="dxa"/>
          </w:tcPr>
          <w:p w14:paraId="17D3EB60" w14:textId="77777777" w:rsidR="00BA15D6" w:rsidRPr="00214AA4" w:rsidRDefault="00BA15D6" w:rsidP="00BA15D6">
            <w:pPr>
              <w:jc w:val="center"/>
              <w:rPr>
                <w:rFonts w:ascii="Arial" w:hAnsi="Arial" w:cs="Arial"/>
                <w:sz w:val="18"/>
                <w:szCs w:val="18"/>
                <w:lang w:val="en-GB"/>
              </w:rPr>
            </w:pPr>
            <w:r w:rsidRPr="00214AA4">
              <w:rPr>
                <w:rFonts w:ascii="Arial" w:hAnsi="Arial" w:cs="Arial"/>
                <w:sz w:val="18"/>
                <w:szCs w:val="18"/>
              </w:rPr>
              <w:t>1</w:t>
            </w:r>
          </w:p>
        </w:tc>
        <w:tc>
          <w:tcPr>
            <w:tcW w:w="863" w:type="dxa"/>
          </w:tcPr>
          <w:p w14:paraId="37F98B61" w14:textId="77777777" w:rsidR="00BA15D6" w:rsidRPr="00214AA4" w:rsidRDefault="00BA15D6" w:rsidP="00BA15D6">
            <w:pPr>
              <w:jc w:val="center"/>
              <w:rPr>
                <w:rFonts w:ascii="Arial" w:hAnsi="Arial" w:cs="Arial"/>
                <w:sz w:val="18"/>
                <w:szCs w:val="18"/>
                <w:lang w:val="en-GB"/>
              </w:rPr>
            </w:pPr>
            <w:r w:rsidRPr="00214AA4">
              <w:rPr>
                <w:rFonts w:ascii="Arial" w:hAnsi="Arial" w:cs="Arial"/>
                <w:sz w:val="18"/>
                <w:szCs w:val="18"/>
              </w:rPr>
              <w:t>0.5</w:t>
            </w:r>
          </w:p>
        </w:tc>
        <w:tc>
          <w:tcPr>
            <w:tcW w:w="1626" w:type="dxa"/>
            <w:vAlign w:val="bottom"/>
          </w:tcPr>
          <w:p w14:paraId="7B64E958" w14:textId="6C58A9BC"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6958BE64" w14:textId="7E438EEB"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0C8CF20D" w14:textId="39B29343"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5</w:t>
            </w:r>
          </w:p>
        </w:tc>
        <w:tc>
          <w:tcPr>
            <w:tcW w:w="1701" w:type="dxa"/>
            <w:vAlign w:val="bottom"/>
          </w:tcPr>
          <w:p w14:paraId="162E8988" w14:textId="01D5393C"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3</w:t>
            </w:r>
          </w:p>
        </w:tc>
      </w:tr>
      <w:tr w:rsidR="00BA15D6" w14:paraId="016D9892" w14:textId="77777777" w:rsidTr="0050234B">
        <w:tc>
          <w:tcPr>
            <w:tcW w:w="483" w:type="dxa"/>
          </w:tcPr>
          <w:p w14:paraId="5F6B9BA5" w14:textId="77777777" w:rsidR="00BA15D6" w:rsidRPr="00214AA4" w:rsidRDefault="00BA15D6" w:rsidP="00BA15D6">
            <w:pPr>
              <w:jc w:val="center"/>
              <w:rPr>
                <w:rFonts w:ascii="Arial" w:hAnsi="Arial" w:cs="Arial"/>
                <w:sz w:val="18"/>
                <w:szCs w:val="18"/>
                <w:lang w:val="en-GB"/>
              </w:rPr>
            </w:pPr>
            <w:r w:rsidRPr="00214AA4">
              <w:rPr>
                <w:rFonts w:ascii="Arial" w:hAnsi="Arial" w:cs="Arial"/>
                <w:sz w:val="18"/>
                <w:szCs w:val="18"/>
              </w:rPr>
              <w:t>2</w:t>
            </w:r>
          </w:p>
        </w:tc>
        <w:tc>
          <w:tcPr>
            <w:tcW w:w="863" w:type="dxa"/>
          </w:tcPr>
          <w:p w14:paraId="3E3F028D" w14:textId="77777777" w:rsidR="00BA15D6" w:rsidRPr="00214AA4" w:rsidRDefault="00BA15D6" w:rsidP="00BA15D6">
            <w:pPr>
              <w:jc w:val="center"/>
              <w:rPr>
                <w:rFonts w:ascii="Arial" w:hAnsi="Arial" w:cs="Arial"/>
                <w:sz w:val="18"/>
                <w:szCs w:val="18"/>
                <w:lang w:val="en-GB"/>
              </w:rPr>
            </w:pPr>
            <w:r w:rsidRPr="00214AA4">
              <w:rPr>
                <w:rFonts w:ascii="Arial" w:hAnsi="Arial" w:cs="Arial"/>
                <w:sz w:val="18"/>
                <w:szCs w:val="18"/>
              </w:rPr>
              <w:t>0.25</w:t>
            </w:r>
          </w:p>
        </w:tc>
        <w:tc>
          <w:tcPr>
            <w:tcW w:w="1626" w:type="dxa"/>
            <w:vAlign w:val="bottom"/>
          </w:tcPr>
          <w:p w14:paraId="1251AD7F" w14:textId="2F21D9BC"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6279A58B" w14:textId="1627AF61"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6FD0BF7A" w14:textId="2597D351"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9</w:t>
            </w:r>
          </w:p>
        </w:tc>
        <w:tc>
          <w:tcPr>
            <w:tcW w:w="1701" w:type="dxa"/>
            <w:vAlign w:val="bottom"/>
          </w:tcPr>
          <w:p w14:paraId="364EA06F" w14:textId="099B6130"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5</w:t>
            </w:r>
          </w:p>
        </w:tc>
      </w:tr>
      <w:tr w:rsidR="00BA15D6" w14:paraId="7D4F3DFF" w14:textId="77777777" w:rsidTr="0050234B">
        <w:tc>
          <w:tcPr>
            <w:tcW w:w="483" w:type="dxa"/>
          </w:tcPr>
          <w:p w14:paraId="6482CF23" w14:textId="77777777" w:rsidR="00BA15D6" w:rsidRPr="00214AA4" w:rsidRDefault="00BA15D6" w:rsidP="00BA15D6">
            <w:pPr>
              <w:jc w:val="center"/>
              <w:rPr>
                <w:rFonts w:ascii="Arial" w:hAnsi="Arial" w:cs="Arial"/>
                <w:sz w:val="18"/>
                <w:szCs w:val="18"/>
                <w:lang w:val="en-GB"/>
              </w:rPr>
            </w:pPr>
            <w:r w:rsidRPr="00214AA4">
              <w:rPr>
                <w:rFonts w:ascii="Arial" w:hAnsi="Arial" w:cs="Arial"/>
                <w:sz w:val="18"/>
                <w:szCs w:val="18"/>
              </w:rPr>
              <w:t>3</w:t>
            </w:r>
          </w:p>
        </w:tc>
        <w:tc>
          <w:tcPr>
            <w:tcW w:w="863" w:type="dxa"/>
          </w:tcPr>
          <w:p w14:paraId="0951511A" w14:textId="77777777" w:rsidR="00BA15D6" w:rsidRPr="00214AA4" w:rsidRDefault="00BA15D6" w:rsidP="00BA15D6">
            <w:pPr>
              <w:jc w:val="center"/>
              <w:rPr>
                <w:rFonts w:ascii="Arial" w:hAnsi="Arial" w:cs="Arial"/>
                <w:sz w:val="18"/>
                <w:szCs w:val="18"/>
                <w:lang w:val="en-GB"/>
              </w:rPr>
            </w:pPr>
            <w:r w:rsidRPr="00214AA4">
              <w:rPr>
                <w:rFonts w:ascii="Arial" w:hAnsi="Arial" w:cs="Arial"/>
                <w:sz w:val="18"/>
                <w:szCs w:val="18"/>
              </w:rPr>
              <w:t>0.125</w:t>
            </w:r>
          </w:p>
        </w:tc>
        <w:tc>
          <w:tcPr>
            <w:tcW w:w="1626" w:type="dxa"/>
            <w:vAlign w:val="bottom"/>
          </w:tcPr>
          <w:p w14:paraId="0FA11A28" w14:textId="765AB73C"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6</w:t>
            </w:r>
          </w:p>
        </w:tc>
        <w:tc>
          <w:tcPr>
            <w:tcW w:w="1701" w:type="dxa"/>
            <w:vAlign w:val="bottom"/>
          </w:tcPr>
          <w:p w14:paraId="32751D7D" w14:textId="43E2BF0A"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4</w:t>
            </w:r>
          </w:p>
        </w:tc>
        <w:tc>
          <w:tcPr>
            <w:tcW w:w="1701" w:type="dxa"/>
            <w:vAlign w:val="bottom"/>
          </w:tcPr>
          <w:p w14:paraId="51F91DA6" w14:textId="2B7352E7"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17</w:t>
            </w:r>
          </w:p>
        </w:tc>
        <w:tc>
          <w:tcPr>
            <w:tcW w:w="1701" w:type="dxa"/>
            <w:vAlign w:val="bottom"/>
          </w:tcPr>
          <w:p w14:paraId="5CF34FF4" w14:textId="0913FAB2" w:rsidR="00BA15D6" w:rsidRPr="00214AA4" w:rsidRDefault="00BA15D6" w:rsidP="00BA15D6">
            <w:pPr>
              <w:jc w:val="center"/>
              <w:rPr>
                <w:rFonts w:ascii="Arial" w:hAnsi="Arial" w:cs="Arial"/>
                <w:sz w:val="18"/>
                <w:szCs w:val="18"/>
                <w:lang w:val="en-GB"/>
              </w:rPr>
            </w:pPr>
            <w:r w:rsidRPr="00214AA4">
              <w:rPr>
                <w:rFonts w:ascii="Arial" w:hAnsi="Arial" w:cs="Arial"/>
                <w:color w:val="000000"/>
                <w:sz w:val="18"/>
                <w:szCs w:val="18"/>
              </w:rPr>
              <w:t>8</w:t>
            </w:r>
          </w:p>
        </w:tc>
      </w:tr>
    </w:tbl>
    <w:p w14:paraId="2B6FCEFE" w14:textId="43508898" w:rsidR="00BA15D6" w:rsidRDefault="00BA15D6" w:rsidP="00BA15D6">
      <w:pPr>
        <w:rPr>
          <w:lang w:val="en-GB"/>
        </w:rPr>
      </w:pPr>
    </w:p>
    <w:p w14:paraId="03950F95" w14:textId="2754F4DC" w:rsidR="003A7A47" w:rsidRDefault="003A7A47" w:rsidP="00BA15D6">
      <w:pPr>
        <w:rPr>
          <w:lang w:val="en-GB"/>
        </w:rPr>
      </w:pPr>
      <w:r>
        <w:rPr>
          <w:lang w:val="en-GB"/>
        </w:rPr>
        <w:t xml:space="preserve">The delays proposed apply for scenarios 1-4, but it was left open under which scenario BWP switch where only BB parameters are changed falls. As this case does not have any RF change, in our view this should fall under scenario 4. Therefore, requirements for scenario 4 </w:t>
      </w:r>
      <w:r w:rsidR="00E11A9A">
        <w:rPr>
          <w:lang w:val="en-GB"/>
        </w:rPr>
        <w:t xml:space="preserve">should </w:t>
      </w:r>
      <w:r>
        <w:rPr>
          <w:lang w:val="en-GB"/>
        </w:rPr>
        <w:t>apply also for this case</w:t>
      </w:r>
      <w:r w:rsidR="00F55802">
        <w:rPr>
          <w:lang w:val="en-GB"/>
        </w:rPr>
        <w:t>.</w:t>
      </w:r>
    </w:p>
    <w:p w14:paraId="0DD3D794" w14:textId="2B7C4880" w:rsidR="003A7A47" w:rsidRPr="00BA15D6" w:rsidRDefault="003A7A47" w:rsidP="003A7A47">
      <w:pPr>
        <w:pStyle w:val="RAN4proposal"/>
        <w:rPr>
          <w:lang w:val="en-GB"/>
        </w:rPr>
      </w:pPr>
      <w:r>
        <w:rPr>
          <w:lang w:val="en-GB"/>
        </w:rPr>
        <w:t>BWP switch where only BB parameters are changed falls under scenario 4.</w:t>
      </w:r>
    </w:p>
    <w:p w14:paraId="0A3A8756" w14:textId="2EA35528" w:rsidR="000346BC" w:rsidRDefault="000346BC" w:rsidP="000346BC">
      <w:pPr>
        <w:pStyle w:val="RAN4H2"/>
      </w:pPr>
      <w:r>
        <w:t>RRC-based BWP switching</w:t>
      </w:r>
    </w:p>
    <w:p w14:paraId="4B06B1E1" w14:textId="32110B74" w:rsidR="00120923" w:rsidRDefault="008E61C6" w:rsidP="00120923">
      <w:r>
        <w:t xml:space="preserve">Due to the introduction of various BWP capabilities by RAN1 </w:t>
      </w:r>
      <w:r w:rsidR="00527EAD">
        <w:t xml:space="preserve">feature list </w:t>
      </w:r>
      <w:r w:rsidR="00527EAD" w:rsidRPr="00CE5B5D">
        <w:t xml:space="preserve">(see </w:t>
      </w:r>
      <w:hyperlink r:id="rId11" w:history="1">
        <w:r w:rsidR="00527EAD" w:rsidRPr="00F55802">
          <w:t>RP-181484</w:t>
        </w:r>
      </w:hyperlink>
      <w:r w:rsidR="00527EAD" w:rsidRPr="00CE5B5D">
        <w:t>)</w:t>
      </w:r>
      <w:r>
        <w:t xml:space="preserve">, </w:t>
      </w:r>
      <w:r w:rsidR="00120923">
        <w:t xml:space="preserve">RAN2 </w:t>
      </w:r>
      <w:r>
        <w:t xml:space="preserve">has been </w:t>
      </w:r>
      <w:r w:rsidR="00120923">
        <w:t xml:space="preserve">discussing </w:t>
      </w:r>
      <w:r>
        <w:t xml:space="preserve">on </w:t>
      </w:r>
      <w:r w:rsidR="00120923">
        <w:t>the details of RRC-based BWP switching</w:t>
      </w:r>
      <w:r w:rsidR="00527EAD">
        <w:t xml:space="preserve"> (i.e. 6-1 in the capability definitions) in addition to the DCI-based BWP switching</w:t>
      </w:r>
      <w:r w:rsidR="00120923">
        <w:t xml:space="preserve">. </w:t>
      </w:r>
      <w:r w:rsidR="00527EAD">
        <w:t>Therefore, RAN4 should also</w:t>
      </w:r>
      <w:r w:rsidR="00F3785E">
        <w:t xml:space="preserve"> define</w:t>
      </w:r>
      <w:r w:rsidR="00527EAD">
        <w:t xml:space="preserve"> requirements for those cases, especially since the 6-1 is a mandatory UE capability.</w:t>
      </w:r>
    </w:p>
    <w:p w14:paraId="3EBEA5C6" w14:textId="77777777" w:rsidR="005009FE" w:rsidRDefault="00527EAD" w:rsidP="00120923">
      <w:r>
        <w:t xml:space="preserve">There are two obvious cases where RAN4 requirements seem needed: </w:t>
      </w:r>
    </w:p>
    <w:p w14:paraId="68949CDB" w14:textId="0A70AC5E" w:rsidR="005009FE" w:rsidRDefault="00527EAD" w:rsidP="00120923">
      <w:r>
        <w:t xml:space="preserve">1) Handover </w:t>
      </w:r>
    </w:p>
    <w:p w14:paraId="4F5FAD73" w14:textId="77777777" w:rsidR="002B2AC0" w:rsidRDefault="00527EAD" w:rsidP="00527EAD">
      <w:r>
        <w:t xml:space="preserve">2) BWP change via RRC. </w:t>
      </w:r>
    </w:p>
    <w:p w14:paraId="74D7D06C" w14:textId="0EA0F18F" w:rsidR="00527EAD" w:rsidRDefault="00550F93" w:rsidP="00527EAD">
      <w:r>
        <w:t xml:space="preserve">We note that </w:t>
      </w:r>
      <w:r w:rsidR="00527EAD">
        <w:t>RAN2#102</w:t>
      </w:r>
      <w:r>
        <w:t xml:space="preserve"> </w:t>
      </w:r>
      <w:r w:rsidR="00F55802">
        <w:t xml:space="preserve">has </w:t>
      </w:r>
      <w:r>
        <w:t xml:space="preserve">made </w:t>
      </w:r>
      <w:r w:rsidR="00527EAD">
        <w:t>the following general agreements (</w:t>
      </w:r>
      <w:r w:rsidR="00527EAD" w:rsidRPr="00F55802">
        <w:t xml:space="preserve">based on </w:t>
      </w:r>
      <w:hyperlink r:id="rId12" w:history="1">
        <w:r w:rsidR="00527EAD" w:rsidRPr="00F55802">
          <w:t>R2-1808645</w:t>
        </w:r>
      </w:hyperlink>
      <w:r w:rsidR="00527EAD" w:rsidRPr="00F55802">
        <w:t xml:space="preserve"> and </w:t>
      </w:r>
      <w:hyperlink r:id="rId13" w:history="1">
        <w:r w:rsidR="00527EAD" w:rsidRPr="00F55802">
          <w:t>R2-1808587</w:t>
        </w:r>
      </w:hyperlink>
      <w:r w:rsidR="00527EAD" w:rsidRPr="00F55802">
        <w:t>) concerning</w:t>
      </w:r>
      <w:r w:rsidR="00527EAD">
        <w:t xml:space="preserve"> BWP operations: </w:t>
      </w:r>
    </w:p>
    <w:p w14:paraId="1663BBD8" w14:textId="77777777" w:rsidR="00527EAD" w:rsidRPr="00F55802" w:rsidRDefault="00527EAD" w:rsidP="00527EAD">
      <w:pPr>
        <w:pStyle w:val="Doc-text2"/>
        <w:pBdr>
          <w:top w:val="single" w:sz="4" w:space="1" w:color="auto"/>
          <w:left w:val="single" w:sz="4" w:space="4" w:color="auto"/>
          <w:bottom w:val="single" w:sz="4" w:space="1" w:color="auto"/>
          <w:right w:val="single" w:sz="4" w:space="4" w:color="auto"/>
        </w:pBdr>
        <w:rPr>
          <w:sz w:val="18"/>
        </w:rPr>
      </w:pPr>
      <w:r w:rsidRPr="00F55802">
        <w:rPr>
          <w:sz w:val="18"/>
        </w:rPr>
        <w:t>Agreements</w:t>
      </w:r>
    </w:p>
    <w:p w14:paraId="0B2A03A5" w14:textId="77777777" w:rsidR="00527EAD" w:rsidRPr="00F55802" w:rsidRDefault="00527EAD" w:rsidP="00527EAD">
      <w:pPr>
        <w:pStyle w:val="Doc-text2"/>
        <w:pBdr>
          <w:top w:val="single" w:sz="4" w:space="1" w:color="auto"/>
          <w:left w:val="single" w:sz="4" w:space="4" w:color="auto"/>
          <w:bottom w:val="single" w:sz="4" w:space="1" w:color="auto"/>
          <w:right w:val="single" w:sz="4" w:space="4" w:color="auto"/>
        </w:pBdr>
        <w:rPr>
          <w:sz w:val="18"/>
        </w:rPr>
      </w:pPr>
      <w:r w:rsidRPr="00F55802">
        <w:rPr>
          <w:sz w:val="18"/>
        </w:rPr>
        <w:t xml:space="preserve">1: </w:t>
      </w:r>
      <w:r w:rsidRPr="00F55802">
        <w:rPr>
          <w:sz w:val="18"/>
        </w:rPr>
        <w:tab/>
        <w:t>Upon synchronous reconfiguration (P/SCell addition or handover), UE performs random access on the first active BWP.</w:t>
      </w:r>
    </w:p>
    <w:p w14:paraId="65DA90EE" w14:textId="77777777" w:rsidR="00527EAD" w:rsidRPr="00F55802" w:rsidRDefault="00527EAD" w:rsidP="00527EAD">
      <w:pPr>
        <w:pStyle w:val="Doc-text2"/>
        <w:pBdr>
          <w:top w:val="single" w:sz="4" w:space="1" w:color="auto"/>
          <w:left w:val="single" w:sz="4" w:space="4" w:color="auto"/>
          <w:bottom w:val="single" w:sz="4" w:space="1" w:color="auto"/>
          <w:right w:val="single" w:sz="4" w:space="4" w:color="auto"/>
        </w:pBdr>
        <w:rPr>
          <w:sz w:val="18"/>
        </w:rPr>
      </w:pPr>
      <w:r w:rsidRPr="00F55802">
        <w:rPr>
          <w:sz w:val="18"/>
        </w:rPr>
        <w:t xml:space="preserve">2: </w:t>
      </w:r>
      <w:r w:rsidRPr="00F55802">
        <w:rPr>
          <w:sz w:val="18"/>
        </w:rPr>
        <w:tab/>
        <w:t>In case of synchronous reconfiguration or SCell addition, firstActiveDownlink BWP-Id and firstActiveUplinkBWP-Id are mandatory present (if the Downlink/Uplink exists for that SCell). (Field may be optional and a condition to require it to be present - to be finalised in ASN.1)</w:t>
      </w:r>
    </w:p>
    <w:p w14:paraId="0CF6D8F3" w14:textId="77777777" w:rsidR="00527EAD" w:rsidRPr="00F55802" w:rsidRDefault="00527EAD" w:rsidP="00527EAD">
      <w:pPr>
        <w:pStyle w:val="Doc-text2"/>
        <w:pBdr>
          <w:top w:val="single" w:sz="4" w:space="1" w:color="auto"/>
          <w:left w:val="single" w:sz="4" w:space="4" w:color="auto"/>
          <w:bottom w:val="single" w:sz="4" w:space="1" w:color="auto"/>
          <w:right w:val="single" w:sz="4" w:space="4" w:color="auto"/>
        </w:pBdr>
        <w:rPr>
          <w:sz w:val="18"/>
        </w:rPr>
      </w:pPr>
      <w:r w:rsidRPr="00F55802">
        <w:rPr>
          <w:sz w:val="18"/>
        </w:rPr>
        <w:t xml:space="preserve">3: </w:t>
      </w:r>
      <w:r w:rsidRPr="00F55802">
        <w:rPr>
          <w:sz w:val="18"/>
        </w:rPr>
        <w:tab/>
        <w:t>RAN2 understanding that the common part of initial BWP configured with the dedicated signalling should be the same as initial BWP configured with the MIB+SIB1.</w:t>
      </w:r>
    </w:p>
    <w:p w14:paraId="74ED97A0" w14:textId="77777777" w:rsidR="00527EAD" w:rsidRPr="00F55802" w:rsidRDefault="00527EAD" w:rsidP="00527EAD">
      <w:pPr>
        <w:pStyle w:val="Doc-text2"/>
        <w:rPr>
          <w:sz w:val="18"/>
        </w:rPr>
      </w:pPr>
      <w:r w:rsidRPr="00F55802">
        <w:rPr>
          <w:sz w:val="18"/>
        </w:rPr>
        <w:t>=&gt;</w:t>
      </w:r>
      <w:r w:rsidRPr="00F55802">
        <w:rPr>
          <w:sz w:val="18"/>
        </w:rPr>
        <w:tab/>
        <w:t xml:space="preserve">For SpCells, we will not support the first active in an RRCReconfiguration without sync. </w:t>
      </w:r>
    </w:p>
    <w:p w14:paraId="59DEBB8D" w14:textId="77777777" w:rsidR="00527EAD" w:rsidRDefault="00527EAD" w:rsidP="00527EAD"/>
    <w:p w14:paraId="4A9B46BA" w14:textId="14E66D5C" w:rsidR="00550F93" w:rsidRDefault="00527EAD" w:rsidP="00527EAD">
      <w:r>
        <w:t>These agreements basically state that barring special circumstances, the first active BWP is the BWP used by UE during CONNECTED mode</w:t>
      </w:r>
      <w:r w:rsidR="00550F93">
        <w:t>, and the UE does random access towards first active BWP during handover</w:t>
      </w:r>
      <w:r>
        <w:t xml:space="preserve">. Further, for PCell and PSCell, BWPs can be changed only via </w:t>
      </w:r>
      <w:r w:rsidR="00A119DA">
        <w:t>handover</w:t>
      </w:r>
      <w:r>
        <w:t>. This means that the BWP switching anyway incurs a data interruption, but since such interruptions are part of the normal handover requirements, they could be fully subsumed to those requirements.</w:t>
      </w:r>
    </w:p>
    <w:p w14:paraId="5805F3C1" w14:textId="1C128B4B" w:rsidR="0023796F" w:rsidRDefault="0023796F" w:rsidP="00F55802">
      <w:pPr>
        <w:pStyle w:val="RAN4observation0"/>
      </w:pPr>
      <w:r>
        <w:t xml:space="preserve">BWP switching via RRC </w:t>
      </w:r>
      <w:r w:rsidR="004E2B44">
        <w:t xml:space="preserve">for PCell and PSCell follows handover procedure, which </w:t>
      </w:r>
      <w:r>
        <w:t>involves some data interruption.</w:t>
      </w:r>
    </w:p>
    <w:p w14:paraId="610C7593" w14:textId="4A94B739" w:rsidR="00550F93" w:rsidRDefault="00550F93">
      <w:r>
        <w:t xml:space="preserve">We </w:t>
      </w:r>
      <w:r w:rsidRPr="00F55802">
        <w:t xml:space="preserve">would also note that there </w:t>
      </w:r>
      <w:r w:rsidR="00527EAD" w:rsidRPr="00F55802">
        <w:t xml:space="preserve">is also a third case </w:t>
      </w:r>
      <w:r w:rsidRPr="00F55802">
        <w:t>for RRC-based BWP sw</w:t>
      </w:r>
      <w:r w:rsidR="00F3785E" w:rsidRPr="00F55802">
        <w:t>it</w:t>
      </w:r>
      <w:r w:rsidRPr="00F55802">
        <w:t xml:space="preserve">ching that was not yet </w:t>
      </w:r>
      <w:r w:rsidR="00527EAD" w:rsidRPr="00F55802">
        <w:t xml:space="preserve">discussed in RAN2 (see </w:t>
      </w:r>
      <w:hyperlink r:id="rId14" w:history="1">
        <w:r w:rsidR="00527EAD" w:rsidRPr="00F55802">
          <w:t>R2-1810032</w:t>
        </w:r>
      </w:hyperlink>
      <w:r w:rsidRPr="00F55802">
        <w:t xml:space="preserve"> to the current RAN2 AH</w:t>
      </w:r>
      <w:r w:rsidR="00527EAD" w:rsidRPr="00F55802">
        <w:t>): Initial</w:t>
      </w:r>
      <w:r w:rsidR="00527EAD">
        <w:t xml:space="preserve"> access</w:t>
      </w:r>
      <w:r w:rsidR="004E1C7B">
        <w:t xml:space="preserve"> for NR stand-alone</w:t>
      </w:r>
      <w:r w:rsidR="00527EAD">
        <w:t>.</w:t>
      </w:r>
      <w:r>
        <w:t xml:space="preserve"> It is currently not clear whether UE could access the first active BWP during initial access or whether it should finish the initial access using only the initial BWP</w:t>
      </w:r>
      <w:r w:rsidR="00F3785E">
        <w:t>.</w:t>
      </w:r>
    </w:p>
    <w:p w14:paraId="260C168F" w14:textId="2BA86498" w:rsidR="0023796F" w:rsidRDefault="0023796F" w:rsidP="00F55802">
      <w:pPr>
        <w:pStyle w:val="RAN4observation0"/>
      </w:pPr>
      <w:r>
        <w:t>The role of BWP switching during initial access is still unclear in RAN2.</w:t>
      </w:r>
    </w:p>
    <w:p w14:paraId="7627D296" w14:textId="108303E1" w:rsidR="00F55802" w:rsidRPr="00F55802" w:rsidRDefault="00F55802" w:rsidP="00F55802">
      <w:pPr>
        <w:rPr>
          <w:lang w:val="en-GB"/>
        </w:rPr>
      </w:pPr>
      <w:r>
        <w:rPr>
          <w:lang w:val="en-GB"/>
        </w:rPr>
        <w:t>From RAN2 perspective, it is not yet clear whether the UE should switch from initial BWP to first active BWP before or after Msg5 during initial access, which leads to two possible scenarios as shown in Figure 1 below.</w:t>
      </w:r>
    </w:p>
    <w:p w14:paraId="1A979E12" w14:textId="77777777" w:rsidR="00527EAD" w:rsidRDefault="00527EAD" w:rsidP="00527EAD">
      <w:pPr>
        <w:jc w:val="center"/>
      </w:pPr>
      <w:r>
        <w:rPr>
          <w:noProof/>
        </w:rPr>
        <w:lastRenderedPageBreak/>
        <w:drawing>
          <wp:inline distT="0" distB="0" distL="0" distR="0" wp14:anchorId="39655C77" wp14:editId="00991A7A">
            <wp:extent cx="3066415" cy="2334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6415" cy="2334895"/>
                    </a:xfrm>
                    <a:prstGeom prst="rect">
                      <a:avLst/>
                    </a:prstGeom>
                    <a:noFill/>
                  </pic:spPr>
                </pic:pic>
              </a:graphicData>
            </a:graphic>
          </wp:inline>
        </w:drawing>
      </w:r>
    </w:p>
    <w:p w14:paraId="4597E2A5" w14:textId="13A75C7F" w:rsidR="00527EAD" w:rsidRPr="00C43A9E" w:rsidRDefault="00527EAD" w:rsidP="00527EAD">
      <w:pPr>
        <w:pStyle w:val="Caption"/>
        <w:rPr>
          <w:b/>
          <w:i w:val="0"/>
        </w:rPr>
      </w:pPr>
      <w:r w:rsidRPr="00C43A9E">
        <w:rPr>
          <w:b/>
          <w:i w:val="0"/>
        </w:rPr>
        <w:t xml:space="preserve">Figure </w:t>
      </w:r>
      <w:r w:rsidRPr="00C43A9E">
        <w:rPr>
          <w:b/>
          <w:i w:val="0"/>
        </w:rPr>
        <w:fldChar w:fldCharType="begin"/>
      </w:r>
      <w:r w:rsidRPr="00C43A9E">
        <w:rPr>
          <w:b/>
          <w:i w:val="0"/>
        </w:rPr>
        <w:instrText xml:space="preserve"> SEQ Figure \* ARABIC </w:instrText>
      </w:r>
      <w:r w:rsidRPr="00C43A9E">
        <w:rPr>
          <w:b/>
          <w:i w:val="0"/>
        </w:rPr>
        <w:fldChar w:fldCharType="separate"/>
      </w:r>
      <w:r w:rsidR="0023796F">
        <w:rPr>
          <w:b/>
          <w:i w:val="0"/>
          <w:noProof/>
        </w:rPr>
        <w:t>1</w:t>
      </w:r>
      <w:r w:rsidRPr="00C43A9E">
        <w:rPr>
          <w:b/>
          <w:i w:val="0"/>
        </w:rPr>
        <w:fldChar w:fldCharType="end"/>
      </w:r>
      <w:r w:rsidRPr="00C43A9E">
        <w:rPr>
          <w:b/>
          <w:i w:val="0"/>
        </w:rPr>
        <w:t>. BWP usage possibilities in initial access</w:t>
      </w:r>
    </w:p>
    <w:p w14:paraId="7971F6D7" w14:textId="2F8F1257" w:rsidR="00550F93" w:rsidRDefault="00550F93" w:rsidP="00550F93">
      <w:r>
        <w:t xml:space="preserve">While RAN2 has to conclude with the discussion, it is </w:t>
      </w:r>
      <w:r w:rsidR="002B2AC0">
        <w:t>foreseen</w:t>
      </w:r>
      <w:r>
        <w:t xml:space="preserve"> that RAN4 may need to provide requirements for this case: Regardless of whether UE switches the BWP before or after Msg5, some BWP switching delay may occur and should be taken into account.</w:t>
      </w:r>
    </w:p>
    <w:p w14:paraId="2BF08EA9" w14:textId="578A23C2" w:rsidR="00550F93" w:rsidRDefault="00550F93" w:rsidP="00550F93">
      <w:r w:rsidRPr="002B2AC0">
        <w:rPr>
          <w:b/>
        </w:rPr>
        <w:t>Observation 5:</w:t>
      </w:r>
      <w:r>
        <w:t xml:space="preserve"> RAN4 may need to provide some (new) requirements for initial access concerning BWP switching from initial BWP to first active BWP.</w:t>
      </w:r>
    </w:p>
    <w:p w14:paraId="3CA7A429" w14:textId="11D8BD54" w:rsidR="00527EAD" w:rsidRDefault="00550F93">
      <w:r>
        <w:t xml:space="preserve">It may be possible to entirely include the BWP switching in the RRC processing delays, since the BWP switching would be part of the RRC configuration anyway. </w:t>
      </w:r>
      <w:r w:rsidR="0023796F">
        <w:t>Th</w:t>
      </w:r>
      <w:r w:rsidR="002B2AC0">
        <w:t>is</w:t>
      </w:r>
      <w:r w:rsidR="0023796F">
        <w:t xml:space="preserve"> would be the easiest way forward for RAN4 requirements viewpoint, but is not clear yet as RAN2 has not yet even agreed to the RRC processing delays.</w:t>
      </w:r>
      <w:r w:rsidR="002B2AC0">
        <w:t xml:space="preserve"> Therefore, we propose to wait for RAN2 to finalize the discussion on RRC-based BWP switching before RAN4 can agree on the needed requirements.</w:t>
      </w:r>
    </w:p>
    <w:p w14:paraId="42E3F072" w14:textId="13D8FC86" w:rsidR="002B2AC0" w:rsidRDefault="002B2AC0" w:rsidP="002B2AC0">
      <w:pPr>
        <w:pStyle w:val="RAN4proposal"/>
      </w:pPr>
      <w:r>
        <w:t>Wait for RAN2 agreements on RRC-based BWP switching before introducing RAN4 requirements.</w:t>
      </w:r>
    </w:p>
    <w:p w14:paraId="767A98E0" w14:textId="77777777" w:rsidR="002B2AC0" w:rsidRDefault="002B2AC0" w:rsidP="00651FFC"/>
    <w:p w14:paraId="7CB0CF25" w14:textId="77777777" w:rsidR="002B2AC0" w:rsidRDefault="004D4F7F" w:rsidP="002B2AC0">
      <w:r>
        <w:t xml:space="preserve">We have made a text proposal </w:t>
      </w:r>
      <w:r w:rsidR="002B2AC0">
        <w:t xml:space="preserve">how </w:t>
      </w:r>
      <w:r>
        <w:t>to capture BWP switching delay for timer- and DCI-based switching in a CR in [4]. Requirements for RRC-based BWP switching can be added when RAN2 details are clear.</w:t>
      </w:r>
    </w:p>
    <w:p w14:paraId="5CE19ED3" w14:textId="60F39BE7" w:rsidR="00171321" w:rsidRDefault="00171321" w:rsidP="00171321">
      <w:pPr>
        <w:pStyle w:val="RAN4H1"/>
      </w:pPr>
      <w:r>
        <w:t>Interruptions to other cells</w:t>
      </w:r>
    </w:p>
    <w:p w14:paraId="31329044" w14:textId="28DFBE58" w:rsidR="00F86849" w:rsidRDefault="00F86849" w:rsidP="00171321">
      <w:r w:rsidRPr="00F86849">
        <w:t>RAN4 agreed that interruptions to other cells are caused by BWP switching at least in Scenarios 1-3. Whether interruptions are caused by Scenario 4 and which cells are interrupted was left open.</w:t>
      </w:r>
    </w:p>
    <w:p w14:paraId="64E7ED29" w14:textId="714817AB" w:rsidR="00F86849" w:rsidRPr="00F86849" w:rsidRDefault="00F86849" w:rsidP="00F86849">
      <w:r w:rsidRPr="00F86849">
        <w:t>As Scenario 4 does not contain any RF change, we do not see a need for interruptions to other cells due to this scenario. We propose not to introduce interruption requirements due to Scenario 4, meaning SCS change or BB parameter change without changing the BW or center frequency.</w:t>
      </w:r>
    </w:p>
    <w:p w14:paraId="75C0E451" w14:textId="781A232F" w:rsidR="00F86849" w:rsidRPr="00F86849" w:rsidRDefault="00F86849" w:rsidP="00F86849">
      <w:pPr>
        <w:pStyle w:val="RAN4proposal"/>
      </w:pPr>
      <w:r w:rsidRPr="00F86849">
        <w:t>Interruptions to other cells are not allowed for Scenario 4.</w:t>
      </w:r>
    </w:p>
    <w:p w14:paraId="0A7BC6D5" w14:textId="7201D0F3" w:rsidR="00171321" w:rsidRDefault="00F86849" w:rsidP="00171321">
      <w:r>
        <w:t>Cells that may be victims to interruption due to BWP switching may be:</w:t>
      </w:r>
    </w:p>
    <w:p w14:paraId="2D3CB8D0" w14:textId="0B042F64" w:rsidR="00F86849" w:rsidRDefault="00F86849" w:rsidP="00F86849">
      <w:pPr>
        <w:pStyle w:val="ListParagraph"/>
        <w:numPr>
          <w:ilvl w:val="0"/>
          <w:numId w:val="39"/>
        </w:numPr>
      </w:pPr>
      <w:r>
        <w:t>NR cells in the same FR</w:t>
      </w:r>
    </w:p>
    <w:p w14:paraId="3A9AD8D5" w14:textId="48AC8AD4" w:rsidR="00F86849" w:rsidRDefault="008108FB" w:rsidP="00F86849">
      <w:pPr>
        <w:pStyle w:val="ListParagraph"/>
        <w:numPr>
          <w:ilvl w:val="0"/>
          <w:numId w:val="39"/>
        </w:numPr>
      </w:pPr>
      <w:r>
        <w:t xml:space="preserve">LTE cells </w:t>
      </w:r>
      <w:r w:rsidR="00F86849">
        <w:t>in the same FR</w:t>
      </w:r>
    </w:p>
    <w:p w14:paraId="5FC67ACA" w14:textId="67C82514" w:rsidR="00F86849" w:rsidRDefault="00F86849" w:rsidP="00F86849">
      <w:pPr>
        <w:pStyle w:val="ListParagraph"/>
        <w:numPr>
          <w:ilvl w:val="0"/>
          <w:numId w:val="39"/>
        </w:numPr>
      </w:pPr>
      <w:r>
        <w:t>NR cells in different FR</w:t>
      </w:r>
    </w:p>
    <w:p w14:paraId="2D108FA9" w14:textId="790E1201" w:rsidR="00F86849" w:rsidRDefault="00F86849" w:rsidP="00F86849">
      <w:pPr>
        <w:pStyle w:val="ListParagraph"/>
        <w:numPr>
          <w:ilvl w:val="0"/>
          <w:numId w:val="39"/>
        </w:numPr>
      </w:pPr>
      <w:r>
        <w:t>LTE cells in different FR</w:t>
      </w:r>
    </w:p>
    <w:p w14:paraId="41678B0A" w14:textId="62CE146E" w:rsidR="008108FB" w:rsidRDefault="00503B37" w:rsidP="00171321">
      <w:r>
        <w:t>In our view interruptions due to BWP switch should only cause interruptions to cells on the same FR</w:t>
      </w:r>
      <w:r w:rsidR="00EC535A">
        <w:t xml:space="preserve">. Whether interruptions are needed for cells in a different FR is not clear, but in our view it should be sufficient to allow interruptions only for the same FR. </w:t>
      </w:r>
    </w:p>
    <w:p w14:paraId="754EA2B8" w14:textId="6ED45AB9" w:rsidR="008108FB" w:rsidRDefault="008108FB" w:rsidP="008108FB">
      <w:pPr>
        <w:pStyle w:val="RAN4proposal"/>
      </w:pPr>
      <w:r>
        <w:t>Interruptions are allowed for Scenario 1-3 for cells in the same FR.</w:t>
      </w:r>
    </w:p>
    <w:p w14:paraId="5F551409" w14:textId="767E628F" w:rsidR="002F1DBF" w:rsidRDefault="008108FB" w:rsidP="00171321">
      <w:r>
        <w:lastRenderedPageBreak/>
        <w:t>Considering interruption duration, a</w:t>
      </w:r>
      <w:r w:rsidR="002F1DBF">
        <w:t xml:space="preserve">s we have proposed </w:t>
      </w:r>
      <w:r w:rsidR="000000CA">
        <w:t>in the previous meetings</w:t>
      </w:r>
      <w:r w:rsidR="002F1DBF">
        <w:t>, we do not think other cells need to be interrupted for the whole BWP switching delay</w:t>
      </w:r>
      <w:r w:rsidR="000000CA">
        <w:t xml:space="preserve"> duration</w:t>
      </w:r>
      <w:r w:rsidR="002F1DBF">
        <w:t xml:space="preserve">. In our view, interruption </w:t>
      </w:r>
      <w:r w:rsidR="000000CA">
        <w:t xml:space="preserve">duration </w:t>
      </w:r>
      <w:r w:rsidR="002F1DBF">
        <w:t xml:space="preserve">should be </w:t>
      </w:r>
      <w:r w:rsidR="000000CA">
        <w:t xml:space="preserve">based on the </w:t>
      </w:r>
      <w:r w:rsidR="002F1DBF">
        <w:t xml:space="preserve">RF related actions during BWP switch, and should thus be of similar duration as other NR interruptions. </w:t>
      </w:r>
      <w:r w:rsidR="00E91B22">
        <w:t>Interruption duration similar to interruptions caused by SCell activation delay seem reasonable and we propose to use these values.</w:t>
      </w:r>
    </w:p>
    <w:p w14:paraId="03F1D443" w14:textId="77777777" w:rsidR="000000CA" w:rsidRDefault="000000CA" w:rsidP="00171321"/>
    <w:p w14:paraId="1A507B42" w14:textId="735D2B25" w:rsidR="00E91B22" w:rsidRDefault="0016238B" w:rsidP="00E91B22">
      <w:pPr>
        <w:pStyle w:val="RAN4proposal"/>
      </w:pPr>
      <w:r>
        <w:t>Interruption duration for</w:t>
      </w:r>
      <w:r w:rsidR="00E91B22">
        <w:t xml:space="preserve"> SCell activation is reused for BWP switching scenarios 1-3 for other cells.</w:t>
      </w:r>
    </w:p>
    <w:p w14:paraId="0CC8277A" w14:textId="551F1C05" w:rsidR="008108FB" w:rsidRDefault="008108FB" w:rsidP="008108FB">
      <w:r w:rsidRPr="008108FB">
        <w:t>Interruption requirements should be defined under the interruption section in TS 38.133</w:t>
      </w:r>
      <w:r w:rsidR="00EC535A">
        <w:t>.</w:t>
      </w:r>
    </w:p>
    <w:p w14:paraId="0F517448" w14:textId="499891CE" w:rsidR="00CD7492" w:rsidRDefault="00CD7492" w:rsidP="00A37002">
      <w:pPr>
        <w:pStyle w:val="RAN4H1"/>
      </w:pPr>
      <w:r w:rsidRPr="00A37002">
        <w:t>Conclusion</w:t>
      </w:r>
    </w:p>
    <w:p w14:paraId="7D1E7927" w14:textId="3D436651" w:rsidR="005B7AE7" w:rsidRPr="005B7AE7" w:rsidRDefault="005B7AE7" w:rsidP="005B7AE7">
      <w:pPr>
        <w:rPr>
          <w:lang w:val="en-GB"/>
        </w:rPr>
      </w:pPr>
      <w:r>
        <w:rPr>
          <w:lang w:val="en-GB"/>
        </w:rPr>
        <w:t>In this contribution we have discussed BWP switching delay and interruption requirements for DCI-, timer- and RRC-based BWP switching. We have made the following proposals and observations:</w:t>
      </w:r>
    </w:p>
    <w:p w14:paraId="15557035" w14:textId="77777777" w:rsidR="0016238B" w:rsidRPr="0016238B" w:rsidRDefault="0016238B" w:rsidP="0016238B">
      <w:pPr>
        <w:pStyle w:val="RAN4proposal"/>
        <w:numPr>
          <w:ilvl w:val="0"/>
          <w:numId w:val="41"/>
        </w:numPr>
        <w:rPr>
          <w:lang w:val="en-GB"/>
        </w:rPr>
      </w:pPr>
      <w:r w:rsidRPr="0016238B">
        <w:rPr>
          <w:lang w:val="en-GB"/>
        </w:rPr>
        <w:t>BWP switching delay requirements are defined in a separate section in TS 38.133.</w:t>
      </w:r>
    </w:p>
    <w:p w14:paraId="67D363F0" w14:textId="77777777" w:rsidR="0016238B" w:rsidRDefault="0016238B" w:rsidP="0016238B">
      <w:pPr>
        <w:pStyle w:val="RAN4Observation"/>
        <w:numPr>
          <w:ilvl w:val="0"/>
          <w:numId w:val="42"/>
        </w:numPr>
      </w:pPr>
      <w:r>
        <w:t>BWP switching requirements are needed for:</w:t>
      </w:r>
    </w:p>
    <w:p w14:paraId="33ADD4B1" w14:textId="77777777" w:rsidR="0016238B" w:rsidRPr="004D2F0E" w:rsidRDefault="0016238B" w:rsidP="0016238B">
      <w:pPr>
        <w:pStyle w:val="ListParagraph"/>
        <w:numPr>
          <w:ilvl w:val="0"/>
          <w:numId w:val="39"/>
        </w:numPr>
        <w:rPr>
          <w:lang w:val="en-GB"/>
        </w:rPr>
      </w:pPr>
      <w:r w:rsidRPr="004D2F0E">
        <w:rPr>
          <w:lang w:val="en-GB"/>
        </w:rPr>
        <w:t>DCI-based BWP switching</w:t>
      </w:r>
    </w:p>
    <w:p w14:paraId="2EC5505C" w14:textId="77777777" w:rsidR="0016238B" w:rsidRPr="004D2F0E" w:rsidRDefault="0016238B" w:rsidP="0016238B">
      <w:pPr>
        <w:pStyle w:val="ListParagraph"/>
        <w:numPr>
          <w:ilvl w:val="0"/>
          <w:numId w:val="39"/>
        </w:numPr>
        <w:rPr>
          <w:lang w:val="en-GB"/>
        </w:rPr>
      </w:pPr>
      <w:r w:rsidRPr="004D2F0E">
        <w:rPr>
          <w:lang w:val="en-GB"/>
        </w:rPr>
        <w:t>Timer-based BWP switching</w:t>
      </w:r>
    </w:p>
    <w:p w14:paraId="62A8ACE4" w14:textId="77777777" w:rsidR="0016238B" w:rsidRDefault="0016238B" w:rsidP="0016238B">
      <w:pPr>
        <w:pStyle w:val="ListParagraph"/>
        <w:numPr>
          <w:ilvl w:val="0"/>
          <w:numId w:val="39"/>
        </w:numPr>
        <w:rPr>
          <w:lang w:val="en-GB"/>
        </w:rPr>
      </w:pPr>
      <w:r w:rsidRPr="004D2F0E">
        <w:rPr>
          <w:lang w:val="en-GB"/>
        </w:rPr>
        <w:t>RRC-based BWP switching</w:t>
      </w:r>
    </w:p>
    <w:p w14:paraId="7E5A4EEF" w14:textId="77777777" w:rsidR="0016238B" w:rsidRPr="00BA15D6" w:rsidRDefault="0016238B" w:rsidP="0016238B">
      <w:pPr>
        <w:pStyle w:val="RAN4proposal"/>
        <w:rPr>
          <w:lang w:val="en-GB"/>
        </w:rPr>
      </w:pPr>
      <w:r>
        <w:rPr>
          <w:lang w:val="en-GB"/>
        </w:rPr>
        <w:t xml:space="preserve">Additional channel estimation delay is not needed in addition to the BWP switching delay requirements. </w:t>
      </w:r>
    </w:p>
    <w:p w14:paraId="4EDF772F" w14:textId="77777777" w:rsidR="0016238B" w:rsidRDefault="0016238B" w:rsidP="0016238B">
      <w:pPr>
        <w:pStyle w:val="RAN4proposal"/>
        <w:rPr>
          <w:lang w:val="en-GB"/>
        </w:rPr>
      </w:pPr>
      <w:r>
        <w:rPr>
          <w:lang w:val="en-GB"/>
        </w:rPr>
        <w:t>RAN4 shall discuss whether there are any scheduling restrictions after BWP switch.</w:t>
      </w:r>
    </w:p>
    <w:p w14:paraId="1751BD05" w14:textId="77777777" w:rsidR="0016238B" w:rsidRDefault="0016238B" w:rsidP="0016238B">
      <w:pPr>
        <w:pStyle w:val="RAN4proposal"/>
        <w:rPr>
          <w:lang w:val="en-GB"/>
        </w:rPr>
      </w:pPr>
      <w:r>
        <w:rPr>
          <w:lang w:val="en-GB"/>
        </w:rPr>
        <w:t>For timer-based BWP switching delay, use the following values:</w:t>
      </w:r>
    </w:p>
    <w:tbl>
      <w:tblPr>
        <w:tblStyle w:val="TableGrid"/>
        <w:tblW w:w="0" w:type="auto"/>
        <w:tblInd w:w="765" w:type="dxa"/>
        <w:tblLook w:val="04A0" w:firstRow="1" w:lastRow="0" w:firstColumn="1" w:lastColumn="0" w:noHBand="0" w:noVBand="1"/>
      </w:tblPr>
      <w:tblGrid>
        <w:gridCol w:w="483"/>
        <w:gridCol w:w="863"/>
        <w:gridCol w:w="1626"/>
        <w:gridCol w:w="1701"/>
        <w:gridCol w:w="1701"/>
        <w:gridCol w:w="1701"/>
      </w:tblGrid>
      <w:tr w:rsidR="0016238B" w14:paraId="70C3FEFA" w14:textId="77777777" w:rsidTr="00564D4B">
        <w:tc>
          <w:tcPr>
            <w:tcW w:w="483" w:type="dxa"/>
            <w:vAlign w:val="center"/>
          </w:tcPr>
          <w:p w14:paraId="35CD145A" w14:textId="77777777" w:rsidR="0016238B" w:rsidRPr="00214AA4" w:rsidRDefault="0016238B" w:rsidP="00564D4B">
            <w:pPr>
              <w:jc w:val="center"/>
              <w:rPr>
                <w:rFonts w:ascii="Arial" w:hAnsi="Arial" w:cs="Arial"/>
                <w:b/>
                <w:sz w:val="18"/>
                <w:szCs w:val="18"/>
                <w:lang w:val="en-GB"/>
              </w:rPr>
            </w:pPr>
            <w:r w:rsidRPr="00214AA4">
              <w:rPr>
                <w:rFonts w:ascii="Arial" w:hAnsi="Arial" w:cs="Arial"/>
                <w:b/>
                <w:noProof/>
                <w:sz w:val="18"/>
                <w:szCs w:val="18"/>
              </w:rPr>
              <w:drawing>
                <wp:inline distT="0" distB="0" distL="0" distR="0" wp14:anchorId="7604A56A" wp14:editId="2B4AC447">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179288A1"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rPr>
              <w:t>NR Slot length (ms)</w:t>
            </w:r>
          </w:p>
        </w:tc>
        <w:tc>
          <w:tcPr>
            <w:tcW w:w="1626" w:type="dxa"/>
            <w:vAlign w:val="center"/>
          </w:tcPr>
          <w:p w14:paraId="6B904A59"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lang w:val="en-GB"/>
              </w:rPr>
              <w:t>Type 1 UE, Scenario 1, 2, 3</w:t>
            </w:r>
          </w:p>
        </w:tc>
        <w:tc>
          <w:tcPr>
            <w:tcW w:w="1701" w:type="dxa"/>
            <w:vAlign w:val="center"/>
          </w:tcPr>
          <w:p w14:paraId="19812B93"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lang w:val="en-GB"/>
              </w:rPr>
              <w:t>Type 1 UE, Scenario 4</w:t>
            </w:r>
          </w:p>
        </w:tc>
        <w:tc>
          <w:tcPr>
            <w:tcW w:w="1701" w:type="dxa"/>
            <w:vAlign w:val="center"/>
          </w:tcPr>
          <w:p w14:paraId="0B7167F8"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lang w:val="en-GB"/>
              </w:rPr>
              <w:t>Type 2 UE, Scenario 1, 2, 3</w:t>
            </w:r>
          </w:p>
        </w:tc>
        <w:tc>
          <w:tcPr>
            <w:tcW w:w="1701" w:type="dxa"/>
            <w:vAlign w:val="center"/>
          </w:tcPr>
          <w:p w14:paraId="18AE4619"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lang w:val="en-GB"/>
              </w:rPr>
              <w:t>Type 2 UE, Scenario 4</w:t>
            </w:r>
          </w:p>
        </w:tc>
      </w:tr>
      <w:tr w:rsidR="0016238B" w14:paraId="45A9F8EB" w14:textId="77777777" w:rsidTr="00564D4B">
        <w:tc>
          <w:tcPr>
            <w:tcW w:w="483" w:type="dxa"/>
          </w:tcPr>
          <w:p w14:paraId="2A19AB1E" w14:textId="77777777" w:rsidR="0016238B" w:rsidRPr="00214AA4" w:rsidRDefault="0016238B" w:rsidP="00564D4B">
            <w:pPr>
              <w:jc w:val="center"/>
              <w:rPr>
                <w:rFonts w:ascii="Arial" w:hAnsi="Arial" w:cs="Arial"/>
                <w:sz w:val="18"/>
                <w:szCs w:val="18"/>
              </w:rPr>
            </w:pPr>
          </w:p>
        </w:tc>
        <w:tc>
          <w:tcPr>
            <w:tcW w:w="863" w:type="dxa"/>
          </w:tcPr>
          <w:p w14:paraId="35C65FC3" w14:textId="77777777" w:rsidR="0016238B" w:rsidRPr="00214AA4" w:rsidRDefault="0016238B" w:rsidP="00564D4B">
            <w:pPr>
              <w:jc w:val="center"/>
              <w:rPr>
                <w:rFonts w:ascii="Arial" w:hAnsi="Arial" w:cs="Arial"/>
                <w:sz w:val="18"/>
                <w:szCs w:val="18"/>
              </w:rPr>
            </w:pPr>
          </w:p>
        </w:tc>
        <w:tc>
          <w:tcPr>
            <w:tcW w:w="1626" w:type="dxa"/>
          </w:tcPr>
          <w:p w14:paraId="165488B8"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440DBC42"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5DFBF968"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269BE4EC"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lang w:val="en-GB"/>
              </w:rPr>
              <w:t>Delay [slots]</w:t>
            </w:r>
          </w:p>
        </w:tc>
      </w:tr>
      <w:tr w:rsidR="0016238B" w14:paraId="5CB92B7C" w14:textId="77777777" w:rsidTr="00564D4B">
        <w:tc>
          <w:tcPr>
            <w:tcW w:w="483" w:type="dxa"/>
          </w:tcPr>
          <w:p w14:paraId="24BF1847"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0</w:t>
            </w:r>
          </w:p>
        </w:tc>
        <w:tc>
          <w:tcPr>
            <w:tcW w:w="863" w:type="dxa"/>
          </w:tcPr>
          <w:p w14:paraId="52132B84"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1</w:t>
            </w:r>
          </w:p>
        </w:tc>
        <w:tc>
          <w:tcPr>
            <w:tcW w:w="1626" w:type="dxa"/>
            <w:vAlign w:val="bottom"/>
          </w:tcPr>
          <w:p w14:paraId="44794AFC"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7C3E6BD4"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01BB8C65"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1305B338"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1</w:t>
            </w:r>
          </w:p>
        </w:tc>
      </w:tr>
      <w:tr w:rsidR="0016238B" w14:paraId="362483F2" w14:textId="77777777" w:rsidTr="00564D4B">
        <w:tc>
          <w:tcPr>
            <w:tcW w:w="483" w:type="dxa"/>
          </w:tcPr>
          <w:p w14:paraId="46C6111C"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1</w:t>
            </w:r>
          </w:p>
        </w:tc>
        <w:tc>
          <w:tcPr>
            <w:tcW w:w="863" w:type="dxa"/>
          </w:tcPr>
          <w:p w14:paraId="378B2994"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0.5</w:t>
            </w:r>
          </w:p>
        </w:tc>
        <w:tc>
          <w:tcPr>
            <w:tcW w:w="1626" w:type="dxa"/>
            <w:vAlign w:val="bottom"/>
          </w:tcPr>
          <w:p w14:paraId="70C6D466"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16CF51C1"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2A8026F7"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4</w:t>
            </w:r>
          </w:p>
        </w:tc>
        <w:tc>
          <w:tcPr>
            <w:tcW w:w="1701" w:type="dxa"/>
            <w:vAlign w:val="bottom"/>
          </w:tcPr>
          <w:p w14:paraId="1163A102"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2</w:t>
            </w:r>
          </w:p>
        </w:tc>
      </w:tr>
      <w:tr w:rsidR="0016238B" w14:paraId="65B2A9E5" w14:textId="77777777" w:rsidTr="00564D4B">
        <w:tc>
          <w:tcPr>
            <w:tcW w:w="483" w:type="dxa"/>
          </w:tcPr>
          <w:p w14:paraId="31E6B9ED"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2</w:t>
            </w:r>
          </w:p>
        </w:tc>
        <w:tc>
          <w:tcPr>
            <w:tcW w:w="863" w:type="dxa"/>
          </w:tcPr>
          <w:p w14:paraId="7B7778DC"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0.25</w:t>
            </w:r>
          </w:p>
        </w:tc>
        <w:tc>
          <w:tcPr>
            <w:tcW w:w="1626" w:type="dxa"/>
            <w:vAlign w:val="bottom"/>
          </w:tcPr>
          <w:p w14:paraId="31647FDE"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778A2982"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0A675378"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8</w:t>
            </w:r>
          </w:p>
        </w:tc>
        <w:tc>
          <w:tcPr>
            <w:tcW w:w="1701" w:type="dxa"/>
            <w:vAlign w:val="bottom"/>
          </w:tcPr>
          <w:p w14:paraId="38F9E428"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4</w:t>
            </w:r>
          </w:p>
        </w:tc>
      </w:tr>
      <w:tr w:rsidR="0016238B" w14:paraId="11B6D009" w14:textId="77777777" w:rsidTr="00564D4B">
        <w:tc>
          <w:tcPr>
            <w:tcW w:w="483" w:type="dxa"/>
          </w:tcPr>
          <w:p w14:paraId="122CAE74"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3</w:t>
            </w:r>
          </w:p>
        </w:tc>
        <w:tc>
          <w:tcPr>
            <w:tcW w:w="863" w:type="dxa"/>
          </w:tcPr>
          <w:p w14:paraId="572D6012"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0.125</w:t>
            </w:r>
          </w:p>
        </w:tc>
        <w:tc>
          <w:tcPr>
            <w:tcW w:w="1626" w:type="dxa"/>
            <w:vAlign w:val="bottom"/>
          </w:tcPr>
          <w:p w14:paraId="02CB7AC5"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5</w:t>
            </w:r>
          </w:p>
        </w:tc>
        <w:tc>
          <w:tcPr>
            <w:tcW w:w="1701" w:type="dxa"/>
            <w:vAlign w:val="bottom"/>
          </w:tcPr>
          <w:p w14:paraId="53317E14"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4</w:t>
            </w:r>
          </w:p>
        </w:tc>
        <w:tc>
          <w:tcPr>
            <w:tcW w:w="1701" w:type="dxa"/>
            <w:vAlign w:val="bottom"/>
          </w:tcPr>
          <w:p w14:paraId="2CBEAD0C"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16</w:t>
            </w:r>
          </w:p>
        </w:tc>
        <w:tc>
          <w:tcPr>
            <w:tcW w:w="1701" w:type="dxa"/>
            <w:vAlign w:val="bottom"/>
          </w:tcPr>
          <w:p w14:paraId="2A015F6E"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8</w:t>
            </w:r>
          </w:p>
        </w:tc>
      </w:tr>
    </w:tbl>
    <w:p w14:paraId="2D57B147" w14:textId="77777777" w:rsidR="0016238B" w:rsidRDefault="0016238B" w:rsidP="0016238B">
      <w:pPr>
        <w:rPr>
          <w:lang w:val="en-GB"/>
        </w:rPr>
      </w:pPr>
    </w:p>
    <w:p w14:paraId="1838B9A0" w14:textId="77777777" w:rsidR="0016238B" w:rsidRDefault="0016238B" w:rsidP="0016238B">
      <w:pPr>
        <w:pStyle w:val="RAN4proposal"/>
        <w:rPr>
          <w:lang w:val="en-GB"/>
        </w:rPr>
      </w:pPr>
      <w:r>
        <w:rPr>
          <w:lang w:val="en-GB"/>
        </w:rPr>
        <w:t>For DCI-based BWP switching delay, use the following values:</w:t>
      </w:r>
    </w:p>
    <w:tbl>
      <w:tblPr>
        <w:tblStyle w:val="TableGrid"/>
        <w:tblW w:w="0" w:type="auto"/>
        <w:tblInd w:w="765" w:type="dxa"/>
        <w:tblLook w:val="04A0" w:firstRow="1" w:lastRow="0" w:firstColumn="1" w:lastColumn="0" w:noHBand="0" w:noVBand="1"/>
      </w:tblPr>
      <w:tblGrid>
        <w:gridCol w:w="483"/>
        <w:gridCol w:w="863"/>
        <w:gridCol w:w="1626"/>
        <w:gridCol w:w="1701"/>
        <w:gridCol w:w="1701"/>
        <w:gridCol w:w="1701"/>
      </w:tblGrid>
      <w:tr w:rsidR="0016238B" w14:paraId="113A7527" w14:textId="77777777" w:rsidTr="00564D4B">
        <w:tc>
          <w:tcPr>
            <w:tcW w:w="483" w:type="dxa"/>
            <w:vAlign w:val="center"/>
          </w:tcPr>
          <w:p w14:paraId="5335F7E1" w14:textId="77777777" w:rsidR="0016238B" w:rsidRPr="00214AA4" w:rsidRDefault="0016238B" w:rsidP="00564D4B">
            <w:pPr>
              <w:jc w:val="center"/>
              <w:rPr>
                <w:rFonts w:ascii="Arial" w:hAnsi="Arial" w:cs="Arial"/>
                <w:b/>
                <w:sz w:val="18"/>
                <w:szCs w:val="18"/>
                <w:lang w:val="en-GB"/>
              </w:rPr>
            </w:pPr>
            <w:r w:rsidRPr="00214AA4">
              <w:rPr>
                <w:rFonts w:ascii="Arial" w:hAnsi="Arial" w:cs="Arial"/>
                <w:b/>
                <w:noProof/>
                <w:sz w:val="18"/>
                <w:szCs w:val="18"/>
              </w:rPr>
              <w:drawing>
                <wp:inline distT="0" distB="0" distL="0" distR="0" wp14:anchorId="6E589981" wp14:editId="5805CF2A">
                  <wp:extent cx="1524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58735AE3"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rPr>
              <w:t>NR Slot length (ms)</w:t>
            </w:r>
          </w:p>
        </w:tc>
        <w:tc>
          <w:tcPr>
            <w:tcW w:w="1626" w:type="dxa"/>
            <w:vAlign w:val="center"/>
          </w:tcPr>
          <w:p w14:paraId="5C72A2BC"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lang w:val="en-GB"/>
              </w:rPr>
              <w:t>Type 1 UE, Scenario 1, 2, 3</w:t>
            </w:r>
          </w:p>
        </w:tc>
        <w:tc>
          <w:tcPr>
            <w:tcW w:w="1701" w:type="dxa"/>
            <w:vAlign w:val="center"/>
          </w:tcPr>
          <w:p w14:paraId="34D9F232"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lang w:val="en-GB"/>
              </w:rPr>
              <w:t>Type 1 UE, Scenario 4</w:t>
            </w:r>
          </w:p>
        </w:tc>
        <w:tc>
          <w:tcPr>
            <w:tcW w:w="1701" w:type="dxa"/>
            <w:vAlign w:val="center"/>
          </w:tcPr>
          <w:p w14:paraId="282D3139"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lang w:val="en-GB"/>
              </w:rPr>
              <w:t>Type 2 UE, Scenario 1, 2, 3</w:t>
            </w:r>
          </w:p>
        </w:tc>
        <w:tc>
          <w:tcPr>
            <w:tcW w:w="1701" w:type="dxa"/>
            <w:vAlign w:val="center"/>
          </w:tcPr>
          <w:p w14:paraId="68C60F00" w14:textId="77777777" w:rsidR="0016238B" w:rsidRPr="00214AA4" w:rsidRDefault="0016238B" w:rsidP="00564D4B">
            <w:pPr>
              <w:jc w:val="center"/>
              <w:rPr>
                <w:rFonts w:ascii="Arial" w:hAnsi="Arial" w:cs="Arial"/>
                <w:b/>
                <w:sz w:val="18"/>
                <w:szCs w:val="18"/>
                <w:lang w:val="en-GB"/>
              </w:rPr>
            </w:pPr>
            <w:r w:rsidRPr="00214AA4">
              <w:rPr>
                <w:rFonts w:ascii="Arial" w:hAnsi="Arial" w:cs="Arial"/>
                <w:b/>
                <w:sz w:val="18"/>
                <w:szCs w:val="18"/>
                <w:lang w:val="en-GB"/>
              </w:rPr>
              <w:t>Type 2 UE, Scenario 4</w:t>
            </w:r>
          </w:p>
        </w:tc>
      </w:tr>
      <w:tr w:rsidR="0016238B" w14:paraId="5AE03CAC" w14:textId="77777777" w:rsidTr="00564D4B">
        <w:tc>
          <w:tcPr>
            <w:tcW w:w="483" w:type="dxa"/>
          </w:tcPr>
          <w:p w14:paraId="0AAD2034" w14:textId="77777777" w:rsidR="0016238B" w:rsidRPr="00214AA4" w:rsidRDefault="0016238B" w:rsidP="00564D4B">
            <w:pPr>
              <w:jc w:val="center"/>
              <w:rPr>
                <w:rFonts w:ascii="Arial" w:hAnsi="Arial" w:cs="Arial"/>
                <w:sz w:val="18"/>
                <w:szCs w:val="18"/>
              </w:rPr>
            </w:pPr>
          </w:p>
        </w:tc>
        <w:tc>
          <w:tcPr>
            <w:tcW w:w="863" w:type="dxa"/>
          </w:tcPr>
          <w:p w14:paraId="2EB925DC" w14:textId="77777777" w:rsidR="0016238B" w:rsidRPr="00214AA4" w:rsidRDefault="0016238B" w:rsidP="00564D4B">
            <w:pPr>
              <w:jc w:val="center"/>
              <w:rPr>
                <w:rFonts w:ascii="Arial" w:hAnsi="Arial" w:cs="Arial"/>
                <w:sz w:val="18"/>
                <w:szCs w:val="18"/>
              </w:rPr>
            </w:pPr>
          </w:p>
        </w:tc>
        <w:tc>
          <w:tcPr>
            <w:tcW w:w="1626" w:type="dxa"/>
          </w:tcPr>
          <w:p w14:paraId="0FEE40E4"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423C27BF"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18CD97B7"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22420C57"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lang w:val="en-GB"/>
              </w:rPr>
              <w:t>Delay [slots]</w:t>
            </w:r>
          </w:p>
        </w:tc>
      </w:tr>
      <w:tr w:rsidR="0016238B" w14:paraId="00354542" w14:textId="77777777" w:rsidTr="00564D4B">
        <w:tc>
          <w:tcPr>
            <w:tcW w:w="483" w:type="dxa"/>
          </w:tcPr>
          <w:p w14:paraId="67846EDE"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0</w:t>
            </w:r>
          </w:p>
        </w:tc>
        <w:tc>
          <w:tcPr>
            <w:tcW w:w="863" w:type="dxa"/>
          </w:tcPr>
          <w:p w14:paraId="5E9E396D"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1</w:t>
            </w:r>
          </w:p>
        </w:tc>
        <w:tc>
          <w:tcPr>
            <w:tcW w:w="1626" w:type="dxa"/>
            <w:vAlign w:val="bottom"/>
          </w:tcPr>
          <w:p w14:paraId="770DF152"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6CEFD81D"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4842BE28"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4385D47B"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2</w:t>
            </w:r>
          </w:p>
        </w:tc>
      </w:tr>
      <w:tr w:rsidR="0016238B" w14:paraId="70C8ADE9" w14:textId="77777777" w:rsidTr="00564D4B">
        <w:tc>
          <w:tcPr>
            <w:tcW w:w="483" w:type="dxa"/>
          </w:tcPr>
          <w:p w14:paraId="16AEAEE6"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1</w:t>
            </w:r>
          </w:p>
        </w:tc>
        <w:tc>
          <w:tcPr>
            <w:tcW w:w="863" w:type="dxa"/>
          </w:tcPr>
          <w:p w14:paraId="467870B1"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0.5</w:t>
            </w:r>
          </w:p>
        </w:tc>
        <w:tc>
          <w:tcPr>
            <w:tcW w:w="1626" w:type="dxa"/>
            <w:vAlign w:val="bottom"/>
          </w:tcPr>
          <w:p w14:paraId="158814EB"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20974687"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667963A3"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5</w:t>
            </w:r>
          </w:p>
        </w:tc>
        <w:tc>
          <w:tcPr>
            <w:tcW w:w="1701" w:type="dxa"/>
            <w:vAlign w:val="bottom"/>
          </w:tcPr>
          <w:p w14:paraId="59F03FB3"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3</w:t>
            </w:r>
          </w:p>
        </w:tc>
      </w:tr>
      <w:tr w:rsidR="0016238B" w14:paraId="57BD9DB0" w14:textId="77777777" w:rsidTr="00564D4B">
        <w:tc>
          <w:tcPr>
            <w:tcW w:w="483" w:type="dxa"/>
          </w:tcPr>
          <w:p w14:paraId="5DC4B576"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2</w:t>
            </w:r>
          </w:p>
        </w:tc>
        <w:tc>
          <w:tcPr>
            <w:tcW w:w="863" w:type="dxa"/>
          </w:tcPr>
          <w:p w14:paraId="5E724668"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0.25</w:t>
            </w:r>
          </w:p>
        </w:tc>
        <w:tc>
          <w:tcPr>
            <w:tcW w:w="1626" w:type="dxa"/>
            <w:vAlign w:val="bottom"/>
          </w:tcPr>
          <w:p w14:paraId="6103FC1D"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70EBD9CC"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230F4B37"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9</w:t>
            </w:r>
          </w:p>
        </w:tc>
        <w:tc>
          <w:tcPr>
            <w:tcW w:w="1701" w:type="dxa"/>
            <w:vAlign w:val="bottom"/>
          </w:tcPr>
          <w:p w14:paraId="1CC54A3C"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5</w:t>
            </w:r>
          </w:p>
        </w:tc>
      </w:tr>
      <w:tr w:rsidR="0016238B" w14:paraId="2772C076" w14:textId="77777777" w:rsidTr="00564D4B">
        <w:tc>
          <w:tcPr>
            <w:tcW w:w="483" w:type="dxa"/>
          </w:tcPr>
          <w:p w14:paraId="20574421"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3</w:t>
            </w:r>
          </w:p>
        </w:tc>
        <w:tc>
          <w:tcPr>
            <w:tcW w:w="863" w:type="dxa"/>
          </w:tcPr>
          <w:p w14:paraId="4EDD5BA3" w14:textId="77777777" w:rsidR="0016238B" w:rsidRPr="00214AA4" w:rsidRDefault="0016238B" w:rsidP="00564D4B">
            <w:pPr>
              <w:jc w:val="center"/>
              <w:rPr>
                <w:rFonts w:ascii="Arial" w:hAnsi="Arial" w:cs="Arial"/>
                <w:sz w:val="18"/>
                <w:szCs w:val="18"/>
                <w:lang w:val="en-GB"/>
              </w:rPr>
            </w:pPr>
            <w:r w:rsidRPr="00214AA4">
              <w:rPr>
                <w:rFonts w:ascii="Arial" w:hAnsi="Arial" w:cs="Arial"/>
                <w:sz w:val="18"/>
                <w:szCs w:val="18"/>
              </w:rPr>
              <w:t>0.125</w:t>
            </w:r>
          </w:p>
        </w:tc>
        <w:tc>
          <w:tcPr>
            <w:tcW w:w="1626" w:type="dxa"/>
            <w:vAlign w:val="bottom"/>
          </w:tcPr>
          <w:p w14:paraId="1D115828"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6</w:t>
            </w:r>
          </w:p>
        </w:tc>
        <w:tc>
          <w:tcPr>
            <w:tcW w:w="1701" w:type="dxa"/>
            <w:vAlign w:val="bottom"/>
          </w:tcPr>
          <w:p w14:paraId="3D6FA523"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4</w:t>
            </w:r>
          </w:p>
        </w:tc>
        <w:tc>
          <w:tcPr>
            <w:tcW w:w="1701" w:type="dxa"/>
            <w:vAlign w:val="bottom"/>
          </w:tcPr>
          <w:p w14:paraId="7F1F08CD"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17</w:t>
            </w:r>
          </w:p>
        </w:tc>
        <w:tc>
          <w:tcPr>
            <w:tcW w:w="1701" w:type="dxa"/>
            <w:vAlign w:val="bottom"/>
          </w:tcPr>
          <w:p w14:paraId="64A19F8D" w14:textId="77777777" w:rsidR="0016238B" w:rsidRPr="00214AA4" w:rsidRDefault="0016238B" w:rsidP="00564D4B">
            <w:pPr>
              <w:jc w:val="center"/>
              <w:rPr>
                <w:rFonts w:ascii="Arial" w:hAnsi="Arial" w:cs="Arial"/>
                <w:sz w:val="18"/>
                <w:szCs w:val="18"/>
                <w:lang w:val="en-GB"/>
              </w:rPr>
            </w:pPr>
            <w:r w:rsidRPr="00214AA4">
              <w:rPr>
                <w:rFonts w:ascii="Arial" w:hAnsi="Arial" w:cs="Arial"/>
                <w:color w:val="000000"/>
                <w:sz w:val="18"/>
                <w:szCs w:val="18"/>
              </w:rPr>
              <w:t>8</w:t>
            </w:r>
          </w:p>
        </w:tc>
      </w:tr>
    </w:tbl>
    <w:p w14:paraId="784E3958" w14:textId="77777777" w:rsidR="0016238B" w:rsidRDefault="0016238B" w:rsidP="0016238B">
      <w:pPr>
        <w:rPr>
          <w:lang w:val="en-GB"/>
        </w:rPr>
      </w:pPr>
    </w:p>
    <w:p w14:paraId="10A1787B" w14:textId="77777777" w:rsidR="0016238B" w:rsidRPr="00BA15D6" w:rsidRDefault="0016238B" w:rsidP="0016238B">
      <w:pPr>
        <w:pStyle w:val="RAN4proposal"/>
        <w:rPr>
          <w:lang w:val="en-GB"/>
        </w:rPr>
      </w:pPr>
      <w:r>
        <w:rPr>
          <w:lang w:val="en-GB"/>
        </w:rPr>
        <w:t>BWP switch where only BB parameters are changed falls under scenario 4.</w:t>
      </w:r>
    </w:p>
    <w:p w14:paraId="3F39B7BB" w14:textId="77777777" w:rsidR="0016238B" w:rsidRDefault="0016238B" w:rsidP="0016238B">
      <w:pPr>
        <w:pStyle w:val="RAN4observation0"/>
      </w:pPr>
      <w:r>
        <w:t>BWP switching via RRC for PCell and PSCell follows handover procedure, which involves some data interruption.</w:t>
      </w:r>
    </w:p>
    <w:p w14:paraId="548EC3D5" w14:textId="77777777" w:rsidR="0016238B" w:rsidRDefault="0016238B" w:rsidP="0016238B">
      <w:pPr>
        <w:pStyle w:val="RAN4observation0"/>
      </w:pPr>
      <w:r>
        <w:t>The role of BWP switching during initial access is still unclear in RAN2.</w:t>
      </w:r>
    </w:p>
    <w:p w14:paraId="521513A3" w14:textId="77777777" w:rsidR="0016238B" w:rsidRDefault="0016238B" w:rsidP="0016238B">
      <w:r w:rsidRPr="002B2AC0">
        <w:rPr>
          <w:b/>
        </w:rPr>
        <w:t>Observation 5:</w:t>
      </w:r>
      <w:r>
        <w:t xml:space="preserve"> RAN4 may need to provide some (new) requirements for initial access concerning BWP switching from initial BWP to first active BWP.</w:t>
      </w:r>
    </w:p>
    <w:p w14:paraId="2F409A8D" w14:textId="77777777" w:rsidR="0016238B" w:rsidRDefault="0016238B" w:rsidP="0016238B">
      <w:pPr>
        <w:pStyle w:val="RAN4proposal"/>
      </w:pPr>
      <w:r>
        <w:lastRenderedPageBreak/>
        <w:t>Wait for RAN2 agreements on RRC-based BWP switching before introducing RAN4 requirements.</w:t>
      </w:r>
    </w:p>
    <w:p w14:paraId="6F25B2DC" w14:textId="77777777" w:rsidR="0016238B" w:rsidRPr="00F86849" w:rsidRDefault="0016238B" w:rsidP="0016238B">
      <w:pPr>
        <w:pStyle w:val="RAN4proposal"/>
      </w:pPr>
      <w:r w:rsidRPr="00F86849">
        <w:t>Interruptions to other cells are not allowed for Scenario 4.</w:t>
      </w:r>
    </w:p>
    <w:p w14:paraId="47AF3917" w14:textId="1EF31AB5" w:rsidR="0016238B" w:rsidRDefault="0016238B" w:rsidP="0016238B">
      <w:pPr>
        <w:pStyle w:val="RAN4proposal"/>
      </w:pPr>
      <w:r>
        <w:t>Interruptions are allowed for Scenario 1-3 for cells in the same FR.</w:t>
      </w:r>
    </w:p>
    <w:p w14:paraId="282E004C" w14:textId="77777777" w:rsidR="0016238B" w:rsidRDefault="0016238B" w:rsidP="0016238B">
      <w:pPr>
        <w:pStyle w:val="RAN4proposal"/>
      </w:pPr>
      <w:r>
        <w:t>Interruption duration for SCell activation is reused for BWP switching scenarios 1-3 for other cells.</w:t>
      </w:r>
    </w:p>
    <w:p w14:paraId="27B6544A" w14:textId="77777777" w:rsidR="003B659E" w:rsidRPr="0095295C" w:rsidRDefault="003B659E" w:rsidP="00974371">
      <w:pPr>
        <w:pStyle w:val="RAN4H1"/>
        <w:numPr>
          <w:ilvl w:val="0"/>
          <w:numId w:val="0"/>
        </w:numPr>
        <w:ind w:left="360" w:hanging="360"/>
      </w:pPr>
      <w:r w:rsidRPr="0095295C">
        <w:t>References</w:t>
      </w:r>
    </w:p>
    <w:p w14:paraId="00F057CF" w14:textId="743C189A" w:rsidR="000D199F" w:rsidRPr="000103B7" w:rsidRDefault="000D199F" w:rsidP="00C570E1">
      <w:pPr>
        <w:numPr>
          <w:ilvl w:val="0"/>
          <w:numId w:val="1"/>
        </w:numPr>
        <w:overflowPunct w:val="0"/>
        <w:autoSpaceDE w:val="0"/>
        <w:autoSpaceDN w:val="0"/>
        <w:adjustRightInd w:val="0"/>
        <w:spacing w:after="120" w:line="240" w:lineRule="auto"/>
        <w:ind w:right="-22"/>
        <w:jc w:val="both"/>
        <w:textAlignment w:val="baseline"/>
        <w:rPr>
          <w:lang w:val="en-GB"/>
        </w:rPr>
      </w:pPr>
      <w:r w:rsidRPr="000103B7">
        <w:rPr>
          <w:lang w:val="en-GB"/>
        </w:rPr>
        <w:t>R4-1808001</w:t>
      </w:r>
      <w:r w:rsidRPr="000103B7">
        <w:rPr>
          <w:lang w:val="en-GB"/>
        </w:rPr>
        <w:tab/>
        <w:t xml:space="preserve">Way forward on BWP switching, Mediatek, </w:t>
      </w:r>
      <w:r w:rsidRPr="000103B7">
        <w:rPr>
          <w:szCs w:val="20"/>
        </w:rPr>
        <w:t>3GPP TSG-RAN WG4 Meeting #87, Busan, Korea (Republic of), 21-25 May 2018.</w:t>
      </w:r>
    </w:p>
    <w:p w14:paraId="18CC5CF9" w14:textId="58A30C50" w:rsidR="009F7342" w:rsidRPr="004058E1" w:rsidRDefault="009F7342" w:rsidP="009F7342">
      <w:pPr>
        <w:numPr>
          <w:ilvl w:val="0"/>
          <w:numId w:val="1"/>
        </w:numPr>
        <w:overflowPunct w:val="0"/>
        <w:autoSpaceDE w:val="0"/>
        <w:autoSpaceDN w:val="0"/>
        <w:adjustRightInd w:val="0"/>
        <w:spacing w:after="120" w:line="240" w:lineRule="auto"/>
        <w:ind w:right="-22"/>
        <w:jc w:val="both"/>
        <w:textAlignment w:val="baseline"/>
        <w:rPr>
          <w:lang w:val="en-GB"/>
        </w:rPr>
      </w:pPr>
      <w:r>
        <w:rPr>
          <w:lang w:val="en-GB"/>
        </w:rPr>
        <w:t xml:space="preserve">R4-1803283, LS on BWP switching delay, </w:t>
      </w:r>
      <w:r w:rsidRPr="00E80EC6">
        <w:rPr>
          <w:lang w:val="en-GB"/>
        </w:rPr>
        <w:t>Intel Corporation</w:t>
      </w:r>
      <w:r>
        <w:rPr>
          <w:lang w:val="en-GB"/>
        </w:rPr>
        <w:t xml:space="preserve">,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sidR="00F84CDA">
        <w:rPr>
          <w:rFonts w:eastAsia="Times New Roman"/>
          <w:bCs/>
          <w:szCs w:val="20"/>
          <w:lang w:val="it-IT"/>
        </w:rPr>
        <w:t xml:space="preserve"> </w:t>
      </w:r>
      <w:r w:rsidRPr="0053342D">
        <w:rPr>
          <w:rFonts w:eastAsia="Times New Roman"/>
          <w:bCs/>
          <w:szCs w:val="20"/>
        </w:rPr>
        <w:t>Greece</w:t>
      </w:r>
      <w:r w:rsidRPr="0053342D">
        <w:rPr>
          <w:rFonts w:eastAsia="Times New Roman"/>
          <w:bCs/>
          <w:szCs w:val="20"/>
          <w:lang w:val="it-IT"/>
        </w:rPr>
        <w:t xml:space="preserve">, </w:t>
      </w:r>
      <w:r w:rsidRPr="009C073D">
        <w:rPr>
          <w:rFonts w:eastAsia="Times New Roman"/>
          <w:bCs/>
          <w:szCs w:val="20"/>
          <w:lang w:val="it-IT"/>
        </w:rPr>
        <w:t xml:space="preserve">26 </w:t>
      </w:r>
      <w:r w:rsidRPr="004058E1">
        <w:rPr>
          <w:rFonts w:eastAsia="Times New Roman"/>
          <w:bCs/>
          <w:szCs w:val="20"/>
          <w:lang w:val="it-IT"/>
        </w:rPr>
        <w:t>Feb – 2 Mar 2018</w:t>
      </w:r>
      <w:r w:rsidRPr="004058E1">
        <w:rPr>
          <w:szCs w:val="20"/>
        </w:rPr>
        <w:t>.</w:t>
      </w:r>
    </w:p>
    <w:p w14:paraId="0E100093" w14:textId="648BEDD1" w:rsidR="00D72EAD" w:rsidRPr="004058E1" w:rsidRDefault="00E9563D" w:rsidP="00E9563D">
      <w:pPr>
        <w:numPr>
          <w:ilvl w:val="0"/>
          <w:numId w:val="1"/>
        </w:numPr>
        <w:overflowPunct w:val="0"/>
        <w:autoSpaceDE w:val="0"/>
        <w:autoSpaceDN w:val="0"/>
        <w:adjustRightInd w:val="0"/>
        <w:spacing w:after="120" w:line="240" w:lineRule="auto"/>
        <w:ind w:right="-22"/>
        <w:jc w:val="both"/>
        <w:textAlignment w:val="baseline"/>
        <w:rPr>
          <w:lang w:val="en-GB"/>
        </w:rPr>
      </w:pPr>
      <w:r w:rsidRPr="004058E1">
        <w:rPr>
          <w:lang w:val="en-GB"/>
        </w:rPr>
        <w:t xml:space="preserve">R4-1806543, BWP Switching Delay, MediaTek Inc., </w:t>
      </w:r>
      <w:r w:rsidRPr="004058E1">
        <w:rPr>
          <w:szCs w:val="20"/>
        </w:rPr>
        <w:t>3GPP TSG-RAN WG4 Meeting #87, Busan, Korea (Republic of), 21-25 May 2018.</w:t>
      </w:r>
    </w:p>
    <w:p w14:paraId="68FB11E5" w14:textId="59B7B6B5" w:rsidR="00D72EAD" w:rsidRPr="004058E1" w:rsidRDefault="004058E1" w:rsidP="004058E1">
      <w:pPr>
        <w:numPr>
          <w:ilvl w:val="0"/>
          <w:numId w:val="1"/>
        </w:numPr>
        <w:overflowPunct w:val="0"/>
        <w:autoSpaceDE w:val="0"/>
        <w:autoSpaceDN w:val="0"/>
        <w:adjustRightInd w:val="0"/>
        <w:spacing w:after="120" w:line="240" w:lineRule="auto"/>
        <w:ind w:right="-22"/>
        <w:jc w:val="both"/>
        <w:textAlignment w:val="baseline"/>
        <w:rPr>
          <w:lang w:val="en-GB"/>
        </w:rPr>
      </w:pPr>
      <w:r w:rsidRPr="004058E1">
        <w:rPr>
          <w:lang w:val="en-GB"/>
        </w:rPr>
        <w:t>R4-1809180</w:t>
      </w:r>
      <w:r w:rsidR="005B7AE7" w:rsidRPr="004058E1">
        <w:rPr>
          <w:lang w:val="en-GB"/>
        </w:rPr>
        <w:t xml:space="preserve">, DraftCR on BWP switching delay requirements, </w:t>
      </w:r>
      <w:r w:rsidR="005B7AE7" w:rsidRPr="004058E1">
        <w:rPr>
          <w:rFonts w:cs="Arial"/>
          <w:bCs/>
          <w:lang w:eastAsia="zh-CN"/>
        </w:rPr>
        <w:t>Nokia, Nokia Shanghai Bell, 3GPP TSG-RAN WG4 Meeting #87, Busan, Korea (Republic of), 21-25 May 2018.</w:t>
      </w:r>
    </w:p>
    <w:p w14:paraId="5857BAEF" w14:textId="77777777" w:rsidR="00504EE9" w:rsidRPr="00841BCD" w:rsidRDefault="00504EE9" w:rsidP="00974371">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38AB58C3" w14:textId="77777777" w:rsidR="00687FA0" w:rsidRPr="003B659E" w:rsidRDefault="00687FA0" w:rsidP="00841BCD">
      <w:pPr>
        <w:ind w:right="-22"/>
        <w:rPr>
          <w:lang w:val="en-GB"/>
        </w:rPr>
      </w:pPr>
      <w:bookmarkStart w:id="3" w:name="_GoBack"/>
      <w:bookmarkEnd w:id="3"/>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A4A56" w14:textId="77777777" w:rsidR="0073092D" w:rsidRDefault="0073092D" w:rsidP="00001C9B">
      <w:pPr>
        <w:spacing w:after="0" w:line="240" w:lineRule="auto"/>
      </w:pPr>
      <w:r>
        <w:separator/>
      </w:r>
    </w:p>
  </w:endnote>
  <w:endnote w:type="continuationSeparator" w:id="0">
    <w:p w14:paraId="00A8964D" w14:textId="77777777" w:rsidR="0073092D" w:rsidRDefault="0073092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55A1B" w14:textId="77777777" w:rsidR="0073092D" w:rsidRDefault="0073092D" w:rsidP="00001C9B">
      <w:pPr>
        <w:spacing w:after="0" w:line="240" w:lineRule="auto"/>
      </w:pPr>
      <w:r>
        <w:separator/>
      </w:r>
    </w:p>
  </w:footnote>
  <w:footnote w:type="continuationSeparator" w:id="0">
    <w:p w14:paraId="18D231C4" w14:textId="77777777" w:rsidR="0073092D" w:rsidRDefault="0073092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5EBE"/>
    <w:multiLevelType w:val="hybridMultilevel"/>
    <w:tmpl w:val="E2CA234E"/>
    <w:lvl w:ilvl="0" w:tplc="F12E2366">
      <w:start w:val="1"/>
      <w:numFmt w:val="bullet"/>
      <w:lvlText w:val="•"/>
      <w:lvlJc w:val="left"/>
      <w:pPr>
        <w:tabs>
          <w:tab w:val="num" w:pos="720"/>
        </w:tabs>
        <w:ind w:left="720" w:hanging="360"/>
      </w:pPr>
      <w:rPr>
        <w:rFonts w:ascii="Arial" w:hAnsi="Arial" w:hint="default"/>
      </w:rPr>
    </w:lvl>
    <w:lvl w:ilvl="1" w:tplc="7A5812F2">
      <w:numFmt w:val="bullet"/>
      <w:lvlText w:val="–"/>
      <w:lvlJc w:val="left"/>
      <w:pPr>
        <w:tabs>
          <w:tab w:val="num" w:pos="1440"/>
        </w:tabs>
        <w:ind w:left="1440" w:hanging="360"/>
      </w:pPr>
      <w:rPr>
        <w:rFonts w:ascii="Arial" w:hAnsi="Arial" w:hint="default"/>
      </w:rPr>
    </w:lvl>
    <w:lvl w:ilvl="2" w:tplc="309E9CE8">
      <w:numFmt w:val="bullet"/>
      <w:lvlText w:val="•"/>
      <w:lvlJc w:val="left"/>
      <w:pPr>
        <w:tabs>
          <w:tab w:val="num" w:pos="2160"/>
        </w:tabs>
        <w:ind w:left="2160" w:hanging="360"/>
      </w:pPr>
      <w:rPr>
        <w:rFonts w:ascii="Arial" w:hAnsi="Arial" w:hint="default"/>
      </w:rPr>
    </w:lvl>
    <w:lvl w:ilvl="3" w:tplc="19C86580" w:tentative="1">
      <w:start w:val="1"/>
      <w:numFmt w:val="bullet"/>
      <w:lvlText w:val="•"/>
      <w:lvlJc w:val="left"/>
      <w:pPr>
        <w:tabs>
          <w:tab w:val="num" w:pos="2880"/>
        </w:tabs>
        <w:ind w:left="2880" w:hanging="360"/>
      </w:pPr>
      <w:rPr>
        <w:rFonts w:ascii="Arial" w:hAnsi="Arial" w:hint="default"/>
      </w:rPr>
    </w:lvl>
    <w:lvl w:ilvl="4" w:tplc="6FE4E47C" w:tentative="1">
      <w:start w:val="1"/>
      <w:numFmt w:val="bullet"/>
      <w:lvlText w:val="•"/>
      <w:lvlJc w:val="left"/>
      <w:pPr>
        <w:tabs>
          <w:tab w:val="num" w:pos="3600"/>
        </w:tabs>
        <w:ind w:left="3600" w:hanging="360"/>
      </w:pPr>
      <w:rPr>
        <w:rFonts w:ascii="Arial" w:hAnsi="Arial" w:hint="default"/>
      </w:rPr>
    </w:lvl>
    <w:lvl w:ilvl="5" w:tplc="E77633B6" w:tentative="1">
      <w:start w:val="1"/>
      <w:numFmt w:val="bullet"/>
      <w:lvlText w:val="•"/>
      <w:lvlJc w:val="left"/>
      <w:pPr>
        <w:tabs>
          <w:tab w:val="num" w:pos="4320"/>
        </w:tabs>
        <w:ind w:left="4320" w:hanging="360"/>
      </w:pPr>
      <w:rPr>
        <w:rFonts w:ascii="Arial" w:hAnsi="Arial" w:hint="default"/>
      </w:rPr>
    </w:lvl>
    <w:lvl w:ilvl="6" w:tplc="5448D188" w:tentative="1">
      <w:start w:val="1"/>
      <w:numFmt w:val="bullet"/>
      <w:lvlText w:val="•"/>
      <w:lvlJc w:val="left"/>
      <w:pPr>
        <w:tabs>
          <w:tab w:val="num" w:pos="5040"/>
        </w:tabs>
        <w:ind w:left="5040" w:hanging="360"/>
      </w:pPr>
      <w:rPr>
        <w:rFonts w:ascii="Arial" w:hAnsi="Arial" w:hint="default"/>
      </w:rPr>
    </w:lvl>
    <w:lvl w:ilvl="7" w:tplc="F384B210" w:tentative="1">
      <w:start w:val="1"/>
      <w:numFmt w:val="bullet"/>
      <w:lvlText w:val="•"/>
      <w:lvlJc w:val="left"/>
      <w:pPr>
        <w:tabs>
          <w:tab w:val="num" w:pos="5760"/>
        </w:tabs>
        <w:ind w:left="5760" w:hanging="360"/>
      </w:pPr>
      <w:rPr>
        <w:rFonts w:ascii="Arial" w:hAnsi="Arial" w:hint="default"/>
      </w:rPr>
    </w:lvl>
    <w:lvl w:ilvl="8" w:tplc="7EECC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5961"/>
    <w:multiLevelType w:val="hybridMultilevel"/>
    <w:tmpl w:val="33047E52"/>
    <w:lvl w:ilvl="0" w:tplc="7C46F518">
      <w:start w:val="1"/>
      <w:numFmt w:val="bullet"/>
      <w:lvlText w:val="•"/>
      <w:lvlJc w:val="left"/>
      <w:pPr>
        <w:tabs>
          <w:tab w:val="num" w:pos="720"/>
        </w:tabs>
        <w:ind w:left="720" w:hanging="360"/>
      </w:pPr>
      <w:rPr>
        <w:rFonts w:ascii="Arial" w:hAnsi="Arial" w:hint="default"/>
      </w:rPr>
    </w:lvl>
    <w:lvl w:ilvl="1" w:tplc="433CD520">
      <w:numFmt w:val="bullet"/>
      <w:lvlText w:val="–"/>
      <w:lvlJc w:val="left"/>
      <w:pPr>
        <w:tabs>
          <w:tab w:val="num" w:pos="1440"/>
        </w:tabs>
        <w:ind w:left="1440" w:hanging="360"/>
      </w:pPr>
      <w:rPr>
        <w:rFonts w:ascii="Arial" w:hAnsi="Arial" w:hint="default"/>
      </w:rPr>
    </w:lvl>
    <w:lvl w:ilvl="2" w:tplc="C79094FC" w:tentative="1">
      <w:start w:val="1"/>
      <w:numFmt w:val="bullet"/>
      <w:lvlText w:val="•"/>
      <w:lvlJc w:val="left"/>
      <w:pPr>
        <w:tabs>
          <w:tab w:val="num" w:pos="2160"/>
        </w:tabs>
        <w:ind w:left="2160" w:hanging="360"/>
      </w:pPr>
      <w:rPr>
        <w:rFonts w:ascii="Arial" w:hAnsi="Arial" w:hint="default"/>
      </w:rPr>
    </w:lvl>
    <w:lvl w:ilvl="3" w:tplc="0642911A" w:tentative="1">
      <w:start w:val="1"/>
      <w:numFmt w:val="bullet"/>
      <w:lvlText w:val="•"/>
      <w:lvlJc w:val="left"/>
      <w:pPr>
        <w:tabs>
          <w:tab w:val="num" w:pos="2880"/>
        </w:tabs>
        <w:ind w:left="2880" w:hanging="360"/>
      </w:pPr>
      <w:rPr>
        <w:rFonts w:ascii="Arial" w:hAnsi="Arial" w:hint="default"/>
      </w:rPr>
    </w:lvl>
    <w:lvl w:ilvl="4" w:tplc="11042AEC" w:tentative="1">
      <w:start w:val="1"/>
      <w:numFmt w:val="bullet"/>
      <w:lvlText w:val="•"/>
      <w:lvlJc w:val="left"/>
      <w:pPr>
        <w:tabs>
          <w:tab w:val="num" w:pos="3600"/>
        </w:tabs>
        <w:ind w:left="3600" w:hanging="360"/>
      </w:pPr>
      <w:rPr>
        <w:rFonts w:ascii="Arial" w:hAnsi="Arial" w:hint="default"/>
      </w:rPr>
    </w:lvl>
    <w:lvl w:ilvl="5" w:tplc="F8825D0C" w:tentative="1">
      <w:start w:val="1"/>
      <w:numFmt w:val="bullet"/>
      <w:lvlText w:val="•"/>
      <w:lvlJc w:val="left"/>
      <w:pPr>
        <w:tabs>
          <w:tab w:val="num" w:pos="4320"/>
        </w:tabs>
        <w:ind w:left="4320" w:hanging="360"/>
      </w:pPr>
      <w:rPr>
        <w:rFonts w:ascii="Arial" w:hAnsi="Arial" w:hint="default"/>
      </w:rPr>
    </w:lvl>
    <w:lvl w:ilvl="6" w:tplc="30EC4402" w:tentative="1">
      <w:start w:val="1"/>
      <w:numFmt w:val="bullet"/>
      <w:lvlText w:val="•"/>
      <w:lvlJc w:val="left"/>
      <w:pPr>
        <w:tabs>
          <w:tab w:val="num" w:pos="5040"/>
        </w:tabs>
        <w:ind w:left="5040" w:hanging="360"/>
      </w:pPr>
      <w:rPr>
        <w:rFonts w:ascii="Arial" w:hAnsi="Arial" w:hint="default"/>
      </w:rPr>
    </w:lvl>
    <w:lvl w:ilvl="7" w:tplc="906E6D34" w:tentative="1">
      <w:start w:val="1"/>
      <w:numFmt w:val="bullet"/>
      <w:lvlText w:val="•"/>
      <w:lvlJc w:val="left"/>
      <w:pPr>
        <w:tabs>
          <w:tab w:val="num" w:pos="5760"/>
        </w:tabs>
        <w:ind w:left="5760" w:hanging="360"/>
      </w:pPr>
      <w:rPr>
        <w:rFonts w:ascii="Arial" w:hAnsi="Arial" w:hint="default"/>
      </w:rPr>
    </w:lvl>
    <w:lvl w:ilvl="8" w:tplc="E7A66F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40213"/>
    <w:multiLevelType w:val="hybridMultilevel"/>
    <w:tmpl w:val="42AADC7A"/>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DB223C"/>
    <w:multiLevelType w:val="hybridMultilevel"/>
    <w:tmpl w:val="4260ED26"/>
    <w:lvl w:ilvl="0" w:tplc="5F06039A">
      <w:start w:val="1"/>
      <w:numFmt w:val="bullet"/>
      <w:lvlText w:val="•"/>
      <w:lvlJc w:val="left"/>
      <w:pPr>
        <w:tabs>
          <w:tab w:val="num" w:pos="720"/>
        </w:tabs>
        <w:ind w:left="720" w:hanging="360"/>
      </w:pPr>
      <w:rPr>
        <w:rFonts w:ascii="Arial" w:hAnsi="Arial" w:hint="default"/>
      </w:rPr>
    </w:lvl>
    <w:lvl w:ilvl="1" w:tplc="6DBE8722">
      <w:start w:val="1"/>
      <w:numFmt w:val="bullet"/>
      <w:lvlText w:val="•"/>
      <w:lvlJc w:val="left"/>
      <w:pPr>
        <w:tabs>
          <w:tab w:val="num" w:pos="1440"/>
        </w:tabs>
        <w:ind w:left="1440" w:hanging="360"/>
      </w:pPr>
      <w:rPr>
        <w:rFonts w:ascii="Arial" w:hAnsi="Arial" w:hint="default"/>
      </w:rPr>
    </w:lvl>
    <w:lvl w:ilvl="2" w:tplc="AC26D262">
      <w:numFmt w:val="bullet"/>
      <w:lvlText w:val="•"/>
      <w:lvlJc w:val="left"/>
      <w:pPr>
        <w:tabs>
          <w:tab w:val="num" w:pos="2160"/>
        </w:tabs>
        <w:ind w:left="2160" w:hanging="360"/>
      </w:pPr>
      <w:rPr>
        <w:rFonts w:ascii="Arial" w:hAnsi="Arial" w:hint="default"/>
      </w:rPr>
    </w:lvl>
    <w:lvl w:ilvl="3" w:tplc="A040593A" w:tentative="1">
      <w:start w:val="1"/>
      <w:numFmt w:val="bullet"/>
      <w:lvlText w:val="•"/>
      <w:lvlJc w:val="left"/>
      <w:pPr>
        <w:tabs>
          <w:tab w:val="num" w:pos="2880"/>
        </w:tabs>
        <w:ind w:left="2880" w:hanging="360"/>
      </w:pPr>
      <w:rPr>
        <w:rFonts w:ascii="Arial" w:hAnsi="Arial" w:hint="default"/>
      </w:rPr>
    </w:lvl>
    <w:lvl w:ilvl="4" w:tplc="9BE0798E" w:tentative="1">
      <w:start w:val="1"/>
      <w:numFmt w:val="bullet"/>
      <w:lvlText w:val="•"/>
      <w:lvlJc w:val="left"/>
      <w:pPr>
        <w:tabs>
          <w:tab w:val="num" w:pos="3600"/>
        </w:tabs>
        <w:ind w:left="3600" w:hanging="360"/>
      </w:pPr>
      <w:rPr>
        <w:rFonts w:ascii="Arial" w:hAnsi="Arial" w:hint="default"/>
      </w:rPr>
    </w:lvl>
    <w:lvl w:ilvl="5" w:tplc="E1423170" w:tentative="1">
      <w:start w:val="1"/>
      <w:numFmt w:val="bullet"/>
      <w:lvlText w:val="•"/>
      <w:lvlJc w:val="left"/>
      <w:pPr>
        <w:tabs>
          <w:tab w:val="num" w:pos="4320"/>
        </w:tabs>
        <w:ind w:left="4320" w:hanging="360"/>
      </w:pPr>
      <w:rPr>
        <w:rFonts w:ascii="Arial" w:hAnsi="Arial" w:hint="default"/>
      </w:rPr>
    </w:lvl>
    <w:lvl w:ilvl="6" w:tplc="0A941640" w:tentative="1">
      <w:start w:val="1"/>
      <w:numFmt w:val="bullet"/>
      <w:lvlText w:val="•"/>
      <w:lvlJc w:val="left"/>
      <w:pPr>
        <w:tabs>
          <w:tab w:val="num" w:pos="5040"/>
        </w:tabs>
        <w:ind w:left="5040" w:hanging="360"/>
      </w:pPr>
      <w:rPr>
        <w:rFonts w:ascii="Arial" w:hAnsi="Arial" w:hint="default"/>
      </w:rPr>
    </w:lvl>
    <w:lvl w:ilvl="7" w:tplc="EB907DE0" w:tentative="1">
      <w:start w:val="1"/>
      <w:numFmt w:val="bullet"/>
      <w:lvlText w:val="•"/>
      <w:lvlJc w:val="left"/>
      <w:pPr>
        <w:tabs>
          <w:tab w:val="num" w:pos="5760"/>
        </w:tabs>
        <w:ind w:left="5760" w:hanging="360"/>
      </w:pPr>
      <w:rPr>
        <w:rFonts w:ascii="Arial" w:hAnsi="Arial" w:hint="default"/>
      </w:rPr>
    </w:lvl>
    <w:lvl w:ilvl="8" w:tplc="8B500E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A4CBA"/>
    <w:multiLevelType w:val="hybridMultilevel"/>
    <w:tmpl w:val="54EC6518"/>
    <w:lvl w:ilvl="0" w:tplc="9260E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D8139D"/>
    <w:multiLevelType w:val="hybridMultilevel"/>
    <w:tmpl w:val="39B42060"/>
    <w:lvl w:ilvl="0" w:tplc="841CAC54">
      <w:start w:val="1"/>
      <w:numFmt w:val="bullet"/>
      <w:lvlText w:val="–"/>
      <w:lvlJc w:val="left"/>
      <w:pPr>
        <w:tabs>
          <w:tab w:val="num" w:pos="720"/>
        </w:tabs>
        <w:ind w:left="720" w:hanging="360"/>
      </w:pPr>
      <w:rPr>
        <w:rFonts w:ascii="Arial" w:hAnsi="Arial" w:hint="default"/>
      </w:rPr>
    </w:lvl>
    <w:lvl w:ilvl="1" w:tplc="8ECE152E">
      <w:start w:val="1"/>
      <w:numFmt w:val="bullet"/>
      <w:lvlText w:val="–"/>
      <w:lvlJc w:val="left"/>
      <w:pPr>
        <w:tabs>
          <w:tab w:val="num" w:pos="1440"/>
        </w:tabs>
        <w:ind w:left="1440" w:hanging="360"/>
      </w:pPr>
      <w:rPr>
        <w:rFonts w:ascii="Arial" w:hAnsi="Arial" w:hint="default"/>
      </w:rPr>
    </w:lvl>
    <w:lvl w:ilvl="2" w:tplc="EC365D3E" w:tentative="1">
      <w:start w:val="1"/>
      <w:numFmt w:val="bullet"/>
      <w:lvlText w:val="–"/>
      <w:lvlJc w:val="left"/>
      <w:pPr>
        <w:tabs>
          <w:tab w:val="num" w:pos="2160"/>
        </w:tabs>
        <w:ind w:left="2160" w:hanging="360"/>
      </w:pPr>
      <w:rPr>
        <w:rFonts w:ascii="Arial" w:hAnsi="Arial" w:hint="default"/>
      </w:rPr>
    </w:lvl>
    <w:lvl w:ilvl="3" w:tplc="7EC83BDA" w:tentative="1">
      <w:start w:val="1"/>
      <w:numFmt w:val="bullet"/>
      <w:lvlText w:val="–"/>
      <w:lvlJc w:val="left"/>
      <w:pPr>
        <w:tabs>
          <w:tab w:val="num" w:pos="2880"/>
        </w:tabs>
        <w:ind w:left="2880" w:hanging="360"/>
      </w:pPr>
      <w:rPr>
        <w:rFonts w:ascii="Arial" w:hAnsi="Arial" w:hint="default"/>
      </w:rPr>
    </w:lvl>
    <w:lvl w:ilvl="4" w:tplc="6A7CA0DE" w:tentative="1">
      <w:start w:val="1"/>
      <w:numFmt w:val="bullet"/>
      <w:lvlText w:val="–"/>
      <w:lvlJc w:val="left"/>
      <w:pPr>
        <w:tabs>
          <w:tab w:val="num" w:pos="3600"/>
        </w:tabs>
        <w:ind w:left="3600" w:hanging="360"/>
      </w:pPr>
      <w:rPr>
        <w:rFonts w:ascii="Arial" w:hAnsi="Arial" w:hint="default"/>
      </w:rPr>
    </w:lvl>
    <w:lvl w:ilvl="5" w:tplc="E31A0CDC" w:tentative="1">
      <w:start w:val="1"/>
      <w:numFmt w:val="bullet"/>
      <w:lvlText w:val="–"/>
      <w:lvlJc w:val="left"/>
      <w:pPr>
        <w:tabs>
          <w:tab w:val="num" w:pos="4320"/>
        </w:tabs>
        <w:ind w:left="4320" w:hanging="360"/>
      </w:pPr>
      <w:rPr>
        <w:rFonts w:ascii="Arial" w:hAnsi="Arial" w:hint="default"/>
      </w:rPr>
    </w:lvl>
    <w:lvl w:ilvl="6" w:tplc="D0803F0A" w:tentative="1">
      <w:start w:val="1"/>
      <w:numFmt w:val="bullet"/>
      <w:lvlText w:val="–"/>
      <w:lvlJc w:val="left"/>
      <w:pPr>
        <w:tabs>
          <w:tab w:val="num" w:pos="5040"/>
        </w:tabs>
        <w:ind w:left="5040" w:hanging="360"/>
      </w:pPr>
      <w:rPr>
        <w:rFonts w:ascii="Arial" w:hAnsi="Arial" w:hint="default"/>
      </w:rPr>
    </w:lvl>
    <w:lvl w:ilvl="7" w:tplc="D114A3C6" w:tentative="1">
      <w:start w:val="1"/>
      <w:numFmt w:val="bullet"/>
      <w:lvlText w:val="–"/>
      <w:lvlJc w:val="left"/>
      <w:pPr>
        <w:tabs>
          <w:tab w:val="num" w:pos="5760"/>
        </w:tabs>
        <w:ind w:left="5760" w:hanging="360"/>
      </w:pPr>
      <w:rPr>
        <w:rFonts w:ascii="Arial" w:hAnsi="Arial" w:hint="default"/>
      </w:rPr>
    </w:lvl>
    <w:lvl w:ilvl="8" w:tplc="91BEA0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103B9E"/>
    <w:multiLevelType w:val="hybridMultilevel"/>
    <w:tmpl w:val="B57CFA76"/>
    <w:lvl w:ilvl="0" w:tplc="04BABE32">
      <w:start w:val="1"/>
      <w:numFmt w:val="bullet"/>
      <w:lvlText w:val="•"/>
      <w:lvlJc w:val="left"/>
      <w:pPr>
        <w:tabs>
          <w:tab w:val="num" w:pos="720"/>
        </w:tabs>
        <w:ind w:left="720" w:hanging="360"/>
      </w:pPr>
      <w:rPr>
        <w:rFonts w:ascii="Arial" w:hAnsi="Arial" w:hint="default"/>
      </w:rPr>
    </w:lvl>
    <w:lvl w:ilvl="1" w:tplc="35068278">
      <w:start w:val="1"/>
      <w:numFmt w:val="bullet"/>
      <w:lvlText w:val="•"/>
      <w:lvlJc w:val="left"/>
      <w:pPr>
        <w:tabs>
          <w:tab w:val="num" w:pos="1440"/>
        </w:tabs>
        <w:ind w:left="1440" w:hanging="360"/>
      </w:pPr>
      <w:rPr>
        <w:rFonts w:ascii="Arial" w:hAnsi="Arial" w:hint="default"/>
      </w:rPr>
    </w:lvl>
    <w:lvl w:ilvl="2" w:tplc="D924D2FE">
      <w:numFmt w:val="bullet"/>
      <w:lvlText w:val="•"/>
      <w:lvlJc w:val="left"/>
      <w:pPr>
        <w:tabs>
          <w:tab w:val="num" w:pos="2160"/>
        </w:tabs>
        <w:ind w:left="2160" w:hanging="360"/>
      </w:pPr>
      <w:rPr>
        <w:rFonts w:ascii="Arial" w:hAnsi="Arial" w:hint="default"/>
      </w:rPr>
    </w:lvl>
    <w:lvl w:ilvl="3" w:tplc="D7126440" w:tentative="1">
      <w:start w:val="1"/>
      <w:numFmt w:val="bullet"/>
      <w:lvlText w:val="•"/>
      <w:lvlJc w:val="left"/>
      <w:pPr>
        <w:tabs>
          <w:tab w:val="num" w:pos="2880"/>
        </w:tabs>
        <w:ind w:left="2880" w:hanging="360"/>
      </w:pPr>
      <w:rPr>
        <w:rFonts w:ascii="Arial" w:hAnsi="Arial" w:hint="default"/>
      </w:rPr>
    </w:lvl>
    <w:lvl w:ilvl="4" w:tplc="40A67346" w:tentative="1">
      <w:start w:val="1"/>
      <w:numFmt w:val="bullet"/>
      <w:lvlText w:val="•"/>
      <w:lvlJc w:val="left"/>
      <w:pPr>
        <w:tabs>
          <w:tab w:val="num" w:pos="3600"/>
        </w:tabs>
        <w:ind w:left="3600" w:hanging="360"/>
      </w:pPr>
      <w:rPr>
        <w:rFonts w:ascii="Arial" w:hAnsi="Arial" w:hint="default"/>
      </w:rPr>
    </w:lvl>
    <w:lvl w:ilvl="5" w:tplc="AA900784" w:tentative="1">
      <w:start w:val="1"/>
      <w:numFmt w:val="bullet"/>
      <w:lvlText w:val="•"/>
      <w:lvlJc w:val="left"/>
      <w:pPr>
        <w:tabs>
          <w:tab w:val="num" w:pos="4320"/>
        </w:tabs>
        <w:ind w:left="4320" w:hanging="360"/>
      </w:pPr>
      <w:rPr>
        <w:rFonts w:ascii="Arial" w:hAnsi="Arial" w:hint="default"/>
      </w:rPr>
    </w:lvl>
    <w:lvl w:ilvl="6" w:tplc="966E8A7C" w:tentative="1">
      <w:start w:val="1"/>
      <w:numFmt w:val="bullet"/>
      <w:lvlText w:val="•"/>
      <w:lvlJc w:val="left"/>
      <w:pPr>
        <w:tabs>
          <w:tab w:val="num" w:pos="5040"/>
        </w:tabs>
        <w:ind w:left="5040" w:hanging="360"/>
      </w:pPr>
      <w:rPr>
        <w:rFonts w:ascii="Arial" w:hAnsi="Arial" w:hint="default"/>
      </w:rPr>
    </w:lvl>
    <w:lvl w:ilvl="7" w:tplc="474481A6" w:tentative="1">
      <w:start w:val="1"/>
      <w:numFmt w:val="bullet"/>
      <w:lvlText w:val="•"/>
      <w:lvlJc w:val="left"/>
      <w:pPr>
        <w:tabs>
          <w:tab w:val="num" w:pos="5760"/>
        </w:tabs>
        <w:ind w:left="5760" w:hanging="360"/>
      </w:pPr>
      <w:rPr>
        <w:rFonts w:ascii="Arial" w:hAnsi="Arial" w:hint="default"/>
      </w:rPr>
    </w:lvl>
    <w:lvl w:ilvl="8" w:tplc="29EEF2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35E58"/>
    <w:multiLevelType w:val="hybridMultilevel"/>
    <w:tmpl w:val="60FC20BC"/>
    <w:lvl w:ilvl="0" w:tplc="2DCEA21A">
      <w:start w:val="1"/>
      <w:numFmt w:val="bullet"/>
      <w:lvlText w:val="•"/>
      <w:lvlJc w:val="left"/>
      <w:pPr>
        <w:tabs>
          <w:tab w:val="num" w:pos="720"/>
        </w:tabs>
        <w:ind w:left="720" w:hanging="360"/>
      </w:pPr>
      <w:rPr>
        <w:rFonts w:ascii="Arial" w:hAnsi="Arial" w:hint="default"/>
      </w:rPr>
    </w:lvl>
    <w:lvl w:ilvl="1" w:tplc="33A46D16">
      <w:numFmt w:val="bullet"/>
      <w:lvlText w:val="•"/>
      <w:lvlJc w:val="left"/>
      <w:pPr>
        <w:tabs>
          <w:tab w:val="num" w:pos="1440"/>
        </w:tabs>
        <w:ind w:left="1440" w:hanging="360"/>
      </w:pPr>
      <w:rPr>
        <w:rFonts w:ascii="Arial" w:hAnsi="Arial" w:hint="default"/>
      </w:rPr>
    </w:lvl>
    <w:lvl w:ilvl="2" w:tplc="4274AFA8" w:tentative="1">
      <w:start w:val="1"/>
      <w:numFmt w:val="bullet"/>
      <w:lvlText w:val="•"/>
      <w:lvlJc w:val="left"/>
      <w:pPr>
        <w:tabs>
          <w:tab w:val="num" w:pos="2160"/>
        </w:tabs>
        <w:ind w:left="2160" w:hanging="360"/>
      </w:pPr>
      <w:rPr>
        <w:rFonts w:ascii="Arial" w:hAnsi="Arial" w:hint="default"/>
      </w:rPr>
    </w:lvl>
    <w:lvl w:ilvl="3" w:tplc="3A2886B4" w:tentative="1">
      <w:start w:val="1"/>
      <w:numFmt w:val="bullet"/>
      <w:lvlText w:val="•"/>
      <w:lvlJc w:val="left"/>
      <w:pPr>
        <w:tabs>
          <w:tab w:val="num" w:pos="2880"/>
        </w:tabs>
        <w:ind w:left="2880" w:hanging="360"/>
      </w:pPr>
      <w:rPr>
        <w:rFonts w:ascii="Arial" w:hAnsi="Arial" w:hint="default"/>
      </w:rPr>
    </w:lvl>
    <w:lvl w:ilvl="4" w:tplc="380A38F4" w:tentative="1">
      <w:start w:val="1"/>
      <w:numFmt w:val="bullet"/>
      <w:lvlText w:val="•"/>
      <w:lvlJc w:val="left"/>
      <w:pPr>
        <w:tabs>
          <w:tab w:val="num" w:pos="3600"/>
        </w:tabs>
        <w:ind w:left="3600" w:hanging="360"/>
      </w:pPr>
      <w:rPr>
        <w:rFonts w:ascii="Arial" w:hAnsi="Arial" w:hint="default"/>
      </w:rPr>
    </w:lvl>
    <w:lvl w:ilvl="5" w:tplc="39F8355C" w:tentative="1">
      <w:start w:val="1"/>
      <w:numFmt w:val="bullet"/>
      <w:lvlText w:val="•"/>
      <w:lvlJc w:val="left"/>
      <w:pPr>
        <w:tabs>
          <w:tab w:val="num" w:pos="4320"/>
        </w:tabs>
        <w:ind w:left="4320" w:hanging="360"/>
      </w:pPr>
      <w:rPr>
        <w:rFonts w:ascii="Arial" w:hAnsi="Arial" w:hint="default"/>
      </w:rPr>
    </w:lvl>
    <w:lvl w:ilvl="6" w:tplc="6A60712C" w:tentative="1">
      <w:start w:val="1"/>
      <w:numFmt w:val="bullet"/>
      <w:lvlText w:val="•"/>
      <w:lvlJc w:val="left"/>
      <w:pPr>
        <w:tabs>
          <w:tab w:val="num" w:pos="5040"/>
        </w:tabs>
        <w:ind w:left="5040" w:hanging="360"/>
      </w:pPr>
      <w:rPr>
        <w:rFonts w:ascii="Arial" w:hAnsi="Arial" w:hint="default"/>
      </w:rPr>
    </w:lvl>
    <w:lvl w:ilvl="7" w:tplc="2918066A" w:tentative="1">
      <w:start w:val="1"/>
      <w:numFmt w:val="bullet"/>
      <w:lvlText w:val="•"/>
      <w:lvlJc w:val="left"/>
      <w:pPr>
        <w:tabs>
          <w:tab w:val="num" w:pos="5760"/>
        </w:tabs>
        <w:ind w:left="5760" w:hanging="360"/>
      </w:pPr>
      <w:rPr>
        <w:rFonts w:ascii="Arial" w:hAnsi="Arial" w:hint="default"/>
      </w:rPr>
    </w:lvl>
    <w:lvl w:ilvl="8" w:tplc="8ED8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E33EEE"/>
    <w:multiLevelType w:val="hybridMultilevel"/>
    <w:tmpl w:val="C136BB7C"/>
    <w:lvl w:ilvl="0" w:tplc="00D2EC68">
      <w:start w:val="1"/>
      <w:numFmt w:val="bullet"/>
      <w:lvlText w:val="•"/>
      <w:lvlJc w:val="left"/>
      <w:pPr>
        <w:tabs>
          <w:tab w:val="num" w:pos="720"/>
        </w:tabs>
        <w:ind w:left="720" w:hanging="360"/>
      </w:pPr>
      <w:rPr>
        <w:rFonts w:ascii="Arial" w:hAnsi="Arial" w:hint="default"/>
      </w:rPr>
    </w:lvl>
    <w:lvl w:ilvl="1" w:tplc="DD582AEE">
      <w:numFmt w:val="bullet"/>
      <w:lvlText w:val="–"/>
      <w:lvlJc w:val="left"/>
      <w:pPr>
        <w:tabs>
          <w:tab w:val="num" w:pos="1440"/>
        </w:tabs>
        <w:ind w:left="1440" w:hanging="360"/>
      </w:pPr>
      <w:rPr>
        <w:rFonts w:ascii="Arial" w:hAnsi="Arial" w:hint="default"/>
      </w:rPr>
    </w:lvl>
    <w:lvl w:ilvl="2" w:tplc="3376A996" w:tentative="1">
      <w:start w:val="1"/>
      <w:numFmt w:val="bullet"/>
      <w:lvlText w:val="•"/>
      <w:lvlJc w:val="left"/>
      <w:pPr>
        <w:tabs>
          <w:tab w:val="num" w:pos="2160"/>
        </w:tabs>
        <w:ind w:left="2160" w:hanging="360"/>
      </w:pPr>
      <w:rPr>
        <w:rFonts w:ascii="Arial" w:hAnsi="Arial" w:hint="default"/>
      </w:rPr>
    </w:lvl>
    <w:lvl w:ilvl="3" w:tplc="5A8C1D64" w:tentative="1">
      <w:start w:val="1"/>
      <w:numFmt w:val="bullet"/>
      <w:lvlText w:val="•"/>
      <w:lvlJc w:val="left"/>
      <w:pPr>
        <w:tabs>
          <w:tab w:val="num" w:pos="2880"/>
        </w:tabs>
        <w:ind w:left="2880" w:hanging="360"/>
      </w:pPr>
      <w:rPr>
        <w:rFonts w:ascii="Arial" w:hAnsi="Arial" w:hint="default"/>
      </w:rPr>
    </w:lvl>
    <w:lvl w:ilvl="4" w:tplc="DB2A87A4" w:tentative="1">
      <w:start w:val="1"/>
      <w:numFmt w:val="bullet"/>
      <w:lvlText w:val="•"/>
      <w:lvlJc w:val="left"/>
      <w:pPr>
        <w:tabs>
          <w:tab w:val="num" w:pos="3600"/>
        </w:tabs>
        <w:ind w:left="3600" w:hanging="360"/>
      </w:pPr>
      <w:rPr>
        <w:rFonts w:ascii="Arial" w:hAnsi="Arial" w:hint="default"/>
      </w:rPr>
    </w:lvl>
    <w:lvl w:ilvl="5" w:tplc="42E248BA" w:tentative="1">
      <w:start w:val="1"/>
      <w:numFmt w:val="bullet"/>
      <w:lvlText w:val="•"/>
      <w:lvlJc w:val="left"/>
      <w:pPr>
        <w:tabs>
          <w:tab w:val="num" w:pos="4320"/>
        </w:tabs>
        <w:ind w:left="4320" w:hanging="360"/>
      </w:pPr>
      <w:rPr>
        <w:rFonts w:ascii="Arial" w:hAnsi="Arial" w:hint="default"/>
      </w:rPr>
    </w:lvl>
    <w:lvl w:ilvl="6" w:tplc="5CD85564" w:tentative="1">
      <w:start w:val="1"/>
      <w:numFmt w:val="bullet"/>
      <w:lvlText w:val="•"/>
      <w:lvlJc w:val="left"/>
      <w:pPr>
        <w:tabs>
          <w:tab w:val="num" w:pos="5040"/>
        </w:tabs>
        <w:ind w:left="5040" w:hanging="360"/>
      </w:pPr>
      <w:rPr>
        <w:rFonts w:ascii="Arial" w:hAnsi="Arial" w:hint="default"/>
      </w:rPr>
    </w:lvl>
    <w:lvl w:ilvl="7" w:tplc="4BB24F1A" w:tentative="1">
      <w:start w:val="1"/>
      <w:numFmt w:val="bullet"/>
      <w:lvlText w:val="•"/>
      <w:lvlJc w:val="left"/>
      <w:pPr>
        <w:tabs>
          <w:tab w:val="num" w:pos="5760"/>
        </w:tabs>
        <w:ind w:left="5760" w:hanging="360"/>
      </w:pPr>
      <w:rPr>
        <w:rFonts w:ascii="Arial" w:hAnsi="Arial" w:hint="default"/>
      </w:rPr>
    </w:lvl>
    <w:lvl w:ilvl="8" w:tplc="F2F647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C67276"/>
    <w:multiLevelType w:val="hybridMultilevel"/>
    <w:tmpl w:val="B790A854"/>
    <w:lvl w:ilvl="0" w:tplc="46303400">
      <w:start w:val="1"/>
      <w:numFmt w:val="bullet"/>
      <w:lvlText w:val="•"/>
      <w:lvlJc w:val="left"/>
      <w:pPr>
        <w:tabs>
          <w:tab w:val="num" w:pos="720"/>
        </w:tabs>
        <w:ind w:left="720" w:hanging="360"/>
      </w:pPr>
      <w:rPr>
        <w:rFonts w:ascii="Arial" w:hAnsi="Arial" w:hint="default"/>
      </w:rPr>
    </w:lvl>
    <w:lvl w:ilvl="1" w:tplc="32927EBE" w:tentative="1">
      <w:start w:val="1"/>
      <w:numFmt w:val="bullet"/>
      <w:lvlText w:val="•"/>
      <w:lvlJc w:val="left"/>
      <w:pPr>
        <w:tabs>
          <w:tab w:val="num" w:pos="1440"/>
        </w:tabs>
        <w:ind w:left="1440" w:hanging="360"/>
      </w:pPr>
      <w:rPr>
        <w:rFonts w:ascii="Arial" w:hAnsi="Arial" w:hint="default"/>
      </w:rPr>
    </w:lvl>
    <w:lvl w:ilvl="2" w:tplc="B1522F84" w:tentative="1">
      <w:start w:val="1"/>
      <w:numFmt w:val="bullet"/>
      <w:lvlText w:val="•"/>
      <w:lvlJc w:val="left"/>
      <w:pPr>
        <w:tabs>
          <w:tab w:val="num" w:pos="2160"/>
        </w:tabs>
        <w:ind w:left="2160" w:hanging="360"/>
      </w:pPr>
      <w:rPr>
        <w:rFonts w:ascii="Arial" w:hAnsi="Arial" w:hint="default"/>
      </w:rPr>
    </w:lvl>
    <w:lvl w:ilvl="3" w:tplc="48B23C58" w:tentative="1">
      <w:start w:val="1"/>
      <w:numFmt w:val="bullet"/>
      <w:lvlText w:val="•"/>
      <w:lvlJc w:val="left"/>
      <w:pPr>
        <w:tabs>
          <w:tab w:val="num" w:pos="2880"/>
        </w:tabs>
        <w:ind w:left="2880" w:hanging="360"/>
      </w:pPr>
      <w:rPr>
        <w:rFonts w:ascii="Arial" w:hAnsi="Arial" w:hint="default"/>
      </w:rPr>
    </w:lvl>
    <w:lvl w:ilvl="4" w:tplc="720A6D06" w:tentative="1">
      <w:start w:val="1"/>
      <w:numFmt w:val="bullet"/>
      <w:lvlText w:val="•"/>
      <w:lvlJc w:val="left"/>
      <w:pPr>
        <w:tabs>
          <w:tab w:val="num" w:pos="3600"/>
        </w:tabs>
        <w:ind w:left="3600" w:hanging="360"/>
      </w:pPr>
      <w:rPr>
        <w:rFonts w:ascii="Arial" w:hAnsi="Arial" w:hint="default"/>
      </w:rPr>
    </w:lvl>
    <w:lvl w:ilvl="5" w:tplc="05CCAEAE" w:tentative="1">
      <w:start w:val="1"/>
      <w:numFmt w:val="bullet"/>
      <w:lvlText w:val="•"/>
      <w:lvlJc w:val="left"/>
      <w:pPr>
        <w:tabs>
          <w:tab w:val="num" w:pos="4320"/>
        </w:tabs>
        <w:ind w:left="4320" w:hanging="360"/>
      </w:pPr>
      <w:rPr>
        <w:rFonts w:ascii="Arial" w:hAnsi="Arial" w:hint="default"/>
      </w:rPr>
    </w:lvl>
    <w:lvl w:ilvl="6" w:tplc="EA7C4D04" w:tentative="1">
      <w:start w:val="1"/>
      <w:numFmt w:val="bullet"/>
      <w:lvlText w:val="•"/>
      <w:lvlJc w:val="left"/>
      <w:pPr>
        <w:tabs>
          <w:tab w:val="num" w:pos="5040"/>
        </w:tabs>
        <w:ind w:left="5040" w:hanging="360"/>
      </w:pPr>
      <w:rPr>
        <w:rFonts w:ascii="Arial" w:hAnsi="Arial" w:hint="default"/>
      </w:rPr>
    </w:lvl>
    <w:lvl w:ilvl="7" w:tplc="01E64A86" w:tentative="1">
      <w:start w:val="1"/>
      <w:numFmt w:val="bullet"/>
      <w:lvlText w:val="•"/>
      <w:lvlJc w:val="left"/>
      <w:pPr>
        <w:tabs>
          <w:tab w:val="num" w:pos="5760"/>
        </w:tabs>
        <w:ind w:left="5760" w:hanging="360"/>
      </w:pPr>
      <w:rPr>
        <w:rFonts w:ascii="Arial" w:hAnsi="Arial" w:hint="default"/>
      </w:rPr>
    </w:lvl>
    <w:lvl w:ilvl="8" w:tplc="4934B3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666A30"/>
    <w:multiLevelType w:val="hybridMultilevel"/>
    <w:tmpl w:val="8930839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B5937"/>
    <w:multiLevelType w:val="hybridMultilevel"/>
    <w:tmpl w:val="BE78A0C8"/>
    <w:lvl w:ilvl="0" w:tplc="8748697C">
      <w:start w:val="1"/>
      <w:numFmt w:val="bullet"/>
      <w:lvlText w:val="•"/>
      <w:lvlJc w:val="left"/>
      <w:pPr>
        <w:tabs>
          <w:tab w:val="num" w:pos="0"/>
        </w:tabs>
        <w:ind w:left="0" w:hanging="360"/>
      </w:pPr>
      <w:rPr>
        <w:rFonts w:ascii="Arial" w:hAnsi="Arial" w:hint="default"/>
      </w:rPr>
    </w:lvl>
    <w:lvl w:ilvl="1" w:tplc="2CE8445E" w:tentative="1">
      <w:start w:val="1"/>
      <w:numFmt w:val="bullet"/>
      <w:lvlText w:val="•"/>
      <w:lvlJc w:val="left"/>
      <w:pPr>
        <w:tabs>
          <w:tab w:val="num" w:pos="720"/>
        </w:tabs>
        <w:ind w:left="720" w:hanging="360"/>
      </w:pPr>
      <w:rPr>
        <w:rFonts w:ascii="Arial" w:hAnsi="Arial" w:hint="default"/>
      </w:rPr>
    </w:lvl>
    <w:lvl w:ilvl="2" w:tplc="20500D30" w:tentative="1">
      <w:start w:val="1"/>
      <w:numFmt w:val="bullet"/>
      <w:lvlText w:val="•"/>
      <w:lvlJc w:val="left"/>
      <w:pPr>
        <w:tabs>
          <w:tab w:val="num" w:pos="1440"/>
        </w:tabs>
        <w:ind w:left="1440" w:hanging="360"/>
      </w:pPr>
      <w:rPr>
        <w:rFonts w:ascii="Arial" w:hAnsi="Arial" w:hint="default"/>
      </w:rPr>
    </w:lvl>
    <w:lvl w:ilvl="3" w:tplc="2FB6CCEA" w:tentative="1">
      <w:start w:val="1"/>
      <w:numFmt w:val="bullet"/>
      <w:lvlText w:val="•"/>
      <w:lvlJc w:val="left"/>
      <w:pPr>
        <w:tabs>
          <w:tab w:val="num" w:pos="2160"/>
        </w:tabs>
        <w:ind w:left="2160" w:hanging="360"/>
      </w:pPr>
      <w:rPr>
        <w:rFonts w:ascii="Arial" w:hAnsi="Arial" w:hint="default"/>
      </w:rPr>
    </w:lvl>
    <w:lvl w:ilvl="4" w:tplc="D3A61556" w:tentative="1">
      <w:start w:val="1"/>
      <w:numFmt w:val="bullet"/>
      <w:lvlText w:val="•"/>
      <w:lvlJc w:val="left"/>
      <w:pPr>
        <w:tabs>
          <w:tab w:val="num" w:pos="2880"/>
        </w:tabs>
        <w:ind w:left="2880" w:hanging="360"/>
      </w:pPr>
      <w:rPr>
        <w:rFonts w:ascii="Arial" w:hAnsi="Arial" w:hint="default"/>
      </w:rPr>
    </w:lvl>
    <w:lvl w:ilvl="5" w:tplc="E452CDF4" w:tentative="1">
      <w:start w:val="1"/>
      <w:numFmt w:val="bullet"/>
      <w:lvlText w:val="•"/>
      <w:lvlJc w:val="left"/>
      <w:pPr>
        <w:tabs>
          <w:tab w:val="num" w:pos="3600"/>
        </w:tabs>
        <w:ind w:left="3600" w:hanging="360"/>
      </w:pPr>
      <w:rPr>
        <w:rFonts w:ascii="Arial" w:hAnsi="Arial" w:hint="default"/>
      </w:rPr>
    </w:lvl>
    <w:lvl w:ilvl="6" w:tplc="C39E2968" w:tentative="1">
      <w:start w:val="1"/>
      <w:numFmt w:val="bullet"/>
      <w:lvlText w:val="•"/>
      <w:lvlJc w:val="left"/>
      <w:pPr>
        <w:tabs>
          <w:tab w:val="num" w:pos="4320"/>
        </w:tabs>
        <w:ind w:left="4320" w:hanging="360"/>
      </w:pPr>
      <w:rPr>
        <w:rFonts w:ascii="Arial" w:hAnsi="Arial" w:hint="default"/>
      </w:rPr>
    </w:lvl>
    <w:lvl w:ilvl="7" w:tplc="DC60E728" w:tentative="1">
      <w:start w:val="1"/>
      <w:numFmt w:val="bullet"/>
      <w:lvlText w:val="•"/>
      <w:lvlJc w:val="left"/>
      <w:pPr>
        <w:tabs>
          <w:tab w:val="num" w:pos="5040"/>
        </w:tabs>
        <w:ind w:left="5040" w:hanging="360"/>
      </w:pPr>
      <w:rPr>
        <w:rFonts w:ascii="Arial" w:hAnsi="Arial" w:hint="default"/>
      </w:rPr>
    </w:lvl>
    <w:lvl w:ilvl="8" w:tplc="A8D0E20C" w:tentative="1">
      <w:start w:val="1"/>
      <w:numFmt w:val="bullet"/>
      <w:lvlText w:val="•"/>
      <w:lvlJc w:val="left"/>
      <w:pPr>
        <w:tabs>
          <w:tab w:val="num" w:pos="5760"/>
        </w:tabs>
        <w:ind w:left="5760" w:hanging="360"/>
      </w:pPr>
      <w:rPr>
        <w:rFonts w:ascii="Arial" w:hAnsi="Arial"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4843F4"/>
    <w:multiLevelType w:val="hybridMultilevel"/>
    <w:tmpl w:val="B4F4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F3991"/>
    <w:multiLevelType w:val="hybridMultilevel"/>
    <w:tmpl w:val="6C00A3F8"/>
    <w:lvl w:ilvl="0" w:tplc="FA24FBC6">
      <w:start w:val="1"/>
      <w:numFmt w:val="bullet"/>
      <w:lvlText w:val="•"/>
      <w:lvlJc w:val="left"/>
      <w:pPr>
        <w:tabs>
          <w:tab w:val="num" w:pos="720"/>
        </w:tabs>
        <w:ind w:left="720" w:hanging="360"/>
      </w:pPr>
      <w:rPr>
        <w:rFonts w:ascii="Arial" w:hAnsi="Arial" w:hint="default"/>
      </w:rPr>
    </w:lvl>
    <w:lvl w:ilvl="1" w:tplc="9B127C04" w:tentative="1">
      <w:start w:val="1"/>
      <w:numFmt w:val="bullet"/>
      <w:lvlText w:val="•"/>
      <w:lvlJc w:val="left"/>
      <w:pPr>
        <w:tabs>
          <w:tab w:val="num" w:pos="1440"/>
        </w:tabs>
        <w:ind w:left="1440" w:hanging="360"/>
      </w:pPr>
      <w:rPr>
        <w:rFonts w:ascii="Arial" w:hAnsi="Arial" w:hint="default"/>
      </w:rPr>
    </w:lvl>
    <w:lvl w:ilvl="2" w:tplc="38AA49A0">
      <w:start w:val="1"/>
      <w:numFmt w:val="bullet"/>
      <w:lvlText w:val="•"/>
      <w:lvlJc w:val="left"/>
      <w:pPr>
        <w:tabs>
          <w:tab w:val="num" w:pos="2160"/>
        </w:tabs>
        <w:ind w:left="2160" w:hanging="360"/>
      </w:pPr>
      <w:rPr>
        <w:rFonts w:ascii="Arial" w:hAnsi="Arial" w:hint="default"/>
      </w:rPr>
    </w:lvl>
    <w:lvl w:ilvl="3" w:tplc="E2F6861A" w:tentative="1">
      <w:start w:val="1"/>
      <w:numFmt w:val="bullet"/>
      <w:lvlText w:val="•"/>
      <w:lvlJc w:val="left"/>
      <w:pPr>
        <w:tabs>
          <w:tab w:val="num" w:pos="2880"/>
        </w:tabs>
        <w:ind w:left="2880" w:hanging="360"/>
      </w:pPr>
      <w:rPr>
        <w:rFonts w:ascii="Arial" w:hAnsi="Arial" w:hint="default"/>
      </w:rPr>
    </w:lvl>
    <w:lvl w:ilvl="4" w:tplc="2AC65E44" w:tentative="1">
      <w:start w:val="1"/>
      <w:numFmt w:val="bullet"/>
      <w:lvlText w:val="•"/>
      <w:lvlJc w:val="left"/>
      <w:pPr>
        <w:tabs>
          <w:tab w:val="num" w:pos="3600"/>
        </w:tabs>
        <w:ind w:left="3600" w:hanging="360"/>
      </w:pPr>
      <w:rPr>
        <w:rFonts w:ascii="Arial" w:hAnsi="Arial" w:hint="default"/>
      </w:rPr>
    </w:lvl>
    <w:lvl w:ilvl="5" w:tplc="B6509CBA" w:tentative="1">
      <w:start w:val="1"/>
      <w:numFmt w:val="bullet"/>
      <w:lvlText w:val="•"/>
      <w:lvlJc w:val="left"/>
      <w:pPr>
        <w:tabs>
          <w:tab w:val="num" w:pos="4320"/>
        </w:tabs>
        <w:ind w:left="4320" w:hanging="360"/>
      </w:pPr>
      <w:rPr>
        <w:rFonts w:ascii="Arial" w:hAnsi="Arial" w:hint="default"/>
      </w:rPr>
    </w:lvl>
    <w:lvl w:ilvl="6" w:tplc="F75C16D8" w:tentative="1">
      <w:start w:val="1"/>
      <w:numFmt w:val="bullet"/>
      <w:lvlText w:val="•"/>
      <w:lvlJc w:val="left"/>
      <w:pPr>
        <w:tabs>
          <w:tab w:val="num" w:pos="5040"/>
        </w:tabs>
        <w:ind w:left="5040" w:hanging="360"/>
      </w:pPr>
      <w:rPr>
        <w:rFonts w:ascii="Arial" w:hAnsi="Arial" w:hint="default"/>
      </w:rPr>
    </w:lvl>
    <w:lvl w:ilvl="7" w:tplc="A574FA7E" w:tentative="1">
      <w:start w:val="1"/>
      <w:numFmt w:val="bullet"/>
      <w:lvlText w:val="•"/>
      <w:lvlJc w:val="left"/>
      <w:pPr>
        <w:tabs>
          <w:tab w:val="num" w:pos="5760"/>
        </w:tabs>
        <w:ind w:left="5760" w:hanging="360"/>
      </w:pPr>
      <w:rPr>
        <w:rFonts w:ascii="Arial" w:hAnsi="Arial" w:hint="default"/>
      </w:rPr>
    </w:lvl>
    <w:lvl w:ilvl="8" w:tplc="769C9E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491C14"/>
    <w:multiLevelType w:val="hybridMultilevel"/>
    <w:tmpl w:val="C5C4706A"/>
    <w:lvl w:ilvl="0" w:tplc="0188013A">
      <w:start w:val="1"/>
      <w:numFmt w:val="bullet"/>
      <w:lvlText w:val="•"/>
      <w:lvlJc w:val="left"/>
      <w:pPr>
        <w:tabs>
          <w:tab w:val="num" w:pos="360"/>
        </w:tabs>
        <w:ind w:left="360" w:hanging="360"/>
      </w:pPr>
      <w:rPr>
        <w:rFonts w:ascii="Arial" w:hAnsi="Arial" w:hint="default"/>
      </w:rPr>
    </w:lvl>
    <w:lvl w:ilvl="1" w:tplc="68982512">
      <w:numFmt w:val="bullet"/>
      <w:lvlText w:val="–"/>
      <w:lvlJc w:val="left"/>
      <w:pPr>
        <w:tabs>
          <w:tab w:val="num" w:pos="1080"/>
        </w:tabs>
        <w:ind w:left="1080" w:hanging="360"/>
      </w:pPr>
      <w:rPr>
        <w:rFonts w:ascii="Arial" w:hAnsi="Arial" w:hint="default"/>
      </w:rPr>
    </w:lvl>
    <w:lvl w:ilvl="2" w:tplc="795EB056">
      <w:numFmt w:val="bullet"/>
      <w:lvlText w:val="•"/>
      <w:lvlJc w:val="left"/>
      <w:pPr>
        <w:tabs>
          <w:tab w:val="num" w:pos="1800"/>
        </w:tabs>
        <w:ind w:left="1800" w:hanging="360"/>
      </w:pPr>
      <w:rPr>
        <w:rFonts w:ascii="Arial" w:hAnsi="Arial" w:hint="default"/>
      </w:rPr>
    </w:lvl>
    <w:lvl w:ilvl="3" w:tplc="7F0EA038" w:tentative="1">
      <w:start w:val="1"/>
      <w:numFmt w:val="bullet"/>
      <w:lvlText w:val="•"/>
      <w:lvlJc w:val="left"/>
      <w:pPr>
        <w:tabs>
          <w:tab w:val="num" w:pos="2520"/>
        </w:tabs>
        <w:ind w:left="2520" w:hanging="360"/>
      </w:pPr>
      <w:rPr>
        <w:rFonts w:ascii="Arial" w:hAnsi="Arial" w:hint="default"/>
      </w:rPr>
    </w:lvl>
    <w:lvl w:ilvl="4" w:tplc="24620662" w:tentative="1">
      <w:start w:val="1"/>
      <w:numFmt w:val="bullet"/>
      <w:lvlText w:val="•"/>
      <w:lvlJc w:val="left"/>
      <w:pPr>
        <w:tabs>
          <w:tab w:val="num" w:pos="3240"/>
        </w:tabs>
        <w:ind w:left="3240" w:hanging="360"/>
      </w:pPr>
      <w:rPr>
        <w:rFonts w:ascii="Arial" w:hAnsi="Arial" w:hint="default"/>
      </w:rPr>
    </w:lvl>
    <w:lvl w:ilvl="5" w:tplc="5D0C123C" w:tentative="1">
      <w:start w:val="1"/>
      <w:numFmt w:val="bullet"/>
      <w:lvlText w:val="•"/>
      <w:lvlJc w:val="left"/>
      <w:pPr>
        <w:tabs>
          <w:tab w:val="num" w:pos="3960"/>
        </w:tabs>
        <w:ind w:left="3960" w:hanging="360"/>
      </w:pPr>
      <w:rPr>
        <w:rFonts w:ascii="Arial" w:hAnsi="Arial" w:hint="default"/>
      </w:rPr>
    </w:lvl>
    <w:lvl w:ilvl="6" w:tplc="D1345F4A" w:tentative="1">
      <w:start w:val="1"/>
      <w:numFmt w:val="bullet"/>
      <w:lvlText w:val="•"/>
      <w:lvlJc w:val="left"/>
      <w:pPr>
        <w:tabs>
          <w:tab w:val="num" w:pos="4680"/>
        </w:tabs>
        <w:ind w:left="4680" w:hanging="360"/>
      </w:pPr>
      <w:rPr>
        <w:rFonts w:ascii="Arial" w:hAnsi="Arial" w:hint="default"/>
      </w:rPr>
    </w:lvl>
    <w:lvl w:ilvl="7" w:tplc="ED1CF064" w:tentative="1">
      <w:start w:val="1"/>
      <w:numFmt w:val="bullet"/>
      <w:lvlText w:val="•"/>
      <w:lvlJc w:val="left"/>
      <w:pPr>
        <w:tabs>
          <w:tab w:val="num" w:pos="5400"/>
        </w:tabs>
        <w:ind w:left="5400" w:hanging="360"/>
      </w:pPr>
      <w:rPr>
        <w:rFonts w:ascii="Arial" w:hAnsi="Arial" w:hint="default"/>
      </w:rPr>
    </w:lvl>
    <w:lvl w:ilvl="8" w:tplc="DD5E132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6CD5781"/>
    <w:multiLevelType w:val="hybridMultilevel"/>
    <w:tmpl w:val="7AA80008"/>
    <w:lvl w:ilvl="0" w:tplc="180AA1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9E5BE1"/>
    <w:multiLevelType w:val="hybridMultilevel"/>
    <w:tmpl w:val="264A3840"/>
    <w:lvl w:ilvl="0" w:tplc="38D0DDD6">
      <w:start w:val="1"/>
      <w:numFmt w:val="bullet"/>
      <w:lvlText w:val="•"/>
      <w:lvlJc w:val="left"/>
      <w:pPr>
        <w:tabs>
          <w:tab w:val="num" w:pos="1080"/>
        </w:tabs>
        <w:ind w:left="1080" w:hanging="360"/>
      </w:pPr>
      <w:rPr>
        <w:rFonts w:ascii="Arial" w:hAnsi="Arial" w:hint="default"/>
      </w:rPr>
    </w:lvl>
    <w:lvl w:ilvl="1" w:tplc="F800C5B0">
      <w:numFmt w:val="bullet"/>
      <w:lvlText w:val="–"/>
      <w:lvlJc w:val="left"/>
      <w:pPr>
        <w:tabs>
          <w:tab w:val="num" w:pos="1800"/>
        </w:tabs>
        <w:ind w:left="1800" w:hanging="360"/>
      </w:pPr>
      <w:rPr>
        <w:rFonts w:ascii="Arial" w:hAnsi="Arial" w:hint="default"/>
      </w:rPr>
    </w:lvl>
    <w:lvl w:ilvl="2" w:tplc="A4248E32">
      <w:start w:val="1"/>
      <w:numFmt w:val="bullet"/>
      <w:lvlText w:val="•"/>
      <w:lvlJc w:val="left"/>
      <w:pPr>
        <w:tabs>
          <w:tab w:val="num" w:pos="2520"/>
        </w:tabs>
        <w:ind w:left="2520" w:hanging="360"/>
      </w:pPr>
      <w:rPr>
        <w:rFonts w:ascii="Arial" w:hAnsi="Arial" w:hint="default"/>
      </w:rPr>
    </w:lvl>
    <w:lvl w:ilvl="3" w:tplc="8C6C89CC" w:tentative="1">
      <w:start w:val="1"/>
      <w:numFmt w:val="bullet"/>
      <w:lvlText w:val="•"/>
      <w:lvlJc w:val="left"/>
      <w:pPr>
        <w:tabs>
          <w:tab w:val="num" w:pos="3240"/>
        </w:tabs>
        <w:ind w:left="3240" w:hanging="360"/>
      </w:pPr>
      <w:rPr>
        <w:rFonts w:ascii="Arial" w:hAnsi="Arial" w:hint="default"/>
      </w:rPr>
    </w:lvl>
    <w:lvl w:ilvl="4" w:tplc="C7160CB8" w:tentative="1">
      <w:start w:val="1"/>
      <w:numFmt w:val="bullet"/>
      <w:lvlText w:val="•"/>
      <w:lvlJc w:val="left"/>
      <w:pPr>
        <w:tabs>
          <w:tab w:val="num" w:pos="3960"/>
        </w:tabs>
        <w:ind w:left="3960" w:hanging="360"/>
      </w:pPr>
      <w:rPr>
        <w:rFonts w:ascii="Arial" w:hAnsi="Arial" w:hint="default"/>
      </w:rPr>
    </w:lvl>
    <w:lvl w:ilvl="5" w:tplc="38C2C9B6" w:tentative="1">
      <w:start w:val="1"/>
      <w:numFmt w:val="bullet"/>
      <w:lvlText w:val="•"/>
      <w:lvlJc w:val="left"/>
      <w:pPr>
        <w:tabs>
          <w:tab w:val="num" w:pos="4680"/>
        </w:tabs>
        <w:ind w:left="4680" w:hanging="360"/>
      </w:pPr>
      <w:rPr>
        <w:rFonts w:ascii="Arial" w:hAnsi="Arial" w:hint="default"/>
      </w:rPr>
    </w:lvl>
    <w:lvl w:ilvl="6" w:tplc="F926B702" w:tentative="1">
      <w:start w:val="1"/>
      <w:numFmt w:val="bullet"/>
      <w:lvlText w:val="•"/>
      <w:lvlJc w:val="left"/>
      <w:pPr>
        <w:tabs>
          <w:tab w:val="num" w:pos="5400"/>
        </w:tabs>
        <w:ind w:left="5400" w:hanging="360"/>
      </w:pPr>
      <w:rPr>
        <w:rFonts w:ascii="Arial" w:hAnsi="Arial" w:hint="default"/>
      </w:rPr>
    </w:lvl>
    <w:lvl w:ilvl="7" w:tplc="772C70F8" w:tentative="1">
      <w:start w:val="1"/>
      <w:numFmt w:val="bullet"/>
      <w:lvlText w:val="•"/>
      <w:lvlJc w:val="left"/>
      <w:pPr>
        <w:tabs>
          <w:tab w:val="num" w:pos="6120"/>
        </w:tabs>
        <w:ind w:left="6120" w:hanging="360"/>
      </w:pPr>
      <w:rPr>
        <w:rFonts w:ascii="Arial" w:hAnsi="Arial" w:hint="default"/>
      </w:rPr>
    </w:lvl>
    <w:lvl w:ilvl="8" w:tplc="3F809D0E" w:tentative="1">
      <w:start w:val="1"/>
      <w:numFmt w:val="bullet"/>
      <w:lvlText w:val="•"/>
      <w:lvlJc w:val="left"/>
      <w:pPr>
        <w:tabs>
          <w:tab w:val="num" w:pos="6840"/>
        </w:tabs>
        <w:ind w:left="6840" w:hanging="360"/>
      </w:pPr>
      <w:rPr>
        <w:rFonts w:ascii="Arial" w:hAnsi="Arial" w:hint="default"/>
      </w:rPr>
    </w:lvl>
  </w:abstractNum>
  <w:num w:numId="1">
    <w:abstractNumId w:val="2"/>
  </w:num>
  <w:num w:numId="2">
    <w:abstractNumId w:val="8"/>
  </w:num>
  <w:num w:numId="3">
    <w:abstractNumId w:val="17"/>
  </w:num>
  <w:num w:numId="4">
    <w:abstractNumId w:val="6"/>
  </w:num>
  <w:num w:numId="5">
    <w:abstractNumId w:val="22"/>
  </w:num>
  <w:num w:numId="6">
    <w:abstractNumId w:val="14"/>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4"/>
    <w:lvlOverride w:ilvl="0">
      <w:startOverride w:val="1"/>
    </w:lvlOverride>
  </w:num>
  <w:num w:numId="12">
    <w:abstractNumId w:val="16"/>
    <w:lvlOverride w:ilvl="0">
      <w:startOverride w:val="1"/>
    </w:lvlOverride>
  </w:num>
  <w:num w:numId="13">
    <w:abstractNumId w:val="14"/>
    <w:lvlOverride w:ilvl="0">
      <w:startOverride w:val="1"/>
    </w:lvlOverride>
  </w:num>
  <w:num w:numId="14">
    <w:abstractNumId w:val="16"/>
    <w:lvlOverride w:ilvl="0">
      <w:startOverride w:val="1"/>
    </w:lvlOverride>
  </w:num>
  <w:num w:numId="15">
    <w:abstractNumId w:val="27"/>
  </w:num>
  <w:num w:numId="16">
    <w:abstractNumId w:val="4"/>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5"/>
  </w:num>
  <w:num w:numId="22">
    <w:abstractNumId w:val="11"/>
  </w:num>
  <w:num w:numId="23">
    <w:abstractNumId w:val="10"/>
  </w:num>
  <w:num w:numId="24">
    <w:abstractNumId w:val="23"/>
  </w:num>
  <w:num w:numId="25">
    <w:abstractNumId w:val="5"/>
  </w:num>
  <w:num w:numId="26">
    <w:abstractNumId w:val="24"/>
  </w:num>
  <w:num w:numId="27">
    <w:abstractNumId w:val="20"/>
  </w:num>
  <w:num w:numId="28">
    <w:abstractNumId w:val="16"/>
    <w:lvlOverride w:ilvl="0">
      <w:startOverride w:val="1"/>
    </w:lvlOverride>
  </w:num>
  <w:num w:numId="29">
    <w:abstractNumId w:val="7"/>
  </w:num>
  <w:num w:numId="30">
    <w:abstractNumId w:val="16"/>
    <w:lvlOverride w:ilvl="0">
      <w:startOverride w:val="1"/>
    </w:lvlOverride>
  </w:num>
  <w:num w:numId="31">
    <w:abstractNumId w:val="12"/>
  </w:num>
  <w:num w:numId="32">
    <w:abstractNumId w:val="9"/>
  </w:num>
  <w:num w:numId="33">
    <w:abstractNumId w:val="21"/>
  </w:num>
  <w:num w:numId="34">
    <w:abstractNumId w:val="25"/>
  </w:num>
  <w:num w:numId="35">
    <w:abstractNumId w:val="1"/>
  </w:num>
  <w:num w:numId="36">
    <w:abstractNumId w:val="0"/>
  </w:num>
  <w:num w:numId="37">
    <w:abstractNumId w:val="26"/>
  </w:num>
  <w:num w:numId="38">
    <w:abstractNumId w:val="28"/>
  </w:num>
  <w:num w:numId="39">
    <w:abstractNumId w:val="3"/>
  </w:num>
  <w:num w:numId="40">
    <w:abstractNumId w:val="18"/>
  </w:num>
  <w:num w:numId="41">
    <w:abstractNumId w:val="16"/>
    <w:lvlOverride w:ilvl="0">
      <w:startOverride w:val="1"/>
    </w:lvlOverride>
  </w:num>
  <w:num w:numId="42">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00CA"/>
    <w:rsid w:val="00001C9B"/>
    <w:rsid w:val="000103B7"/>
    <w:rsid w:val="000346BC"/>
    <w:rsid w:val="00051633"/>
    <w:rsid w:val="00052F27"/>
    <w:rsid w:val="00070077"/>
    <w:rsid w:val="00082480"/>
    <w:rsid w:val="0008612A"/>
    <w:rsid w:val="000A0505"/>
    <w:rsid w:val="000B0056"/>
    <w:rsid w:val="000B2494"/>
    <w:rsid w:val="000D199F"/>
    <w:rsid w:val="00120923"/>
    <w:rsid w:val="00133FE4"/>
    <w:rsid w:val="0016238B"/>
    <w:rsid w:val="00171321"/>
    <w:rsid w:val="00171587"/>
    <w:rsid w:val="001745F8"/>
    <w:rsid w:val="00177E9A"/>
    <w:rsid w:val="001838CF"/>
    <w:rsid w:val="00194DD7"/>
    <w:rsid w:val="001A3BA4"/>
    <w:rsid w:val="001B1F1D"/>
    <w:rsid w:val="001B5D51"/>
    <w:rsid w:val="001E30F6"/>
    <w:rsid w:val="0020301C"/>
    <w:rsid w:val="002035A5"/>
    <w:rsid w:val="00214AA4"/>
    <w:rsid w:val="00221E5C"/>
    <w:rsid w:val="00235F5C"/>
    <w:rsid w:val="0023796F"/>
    <w:rsid w:val="002458EB"/>
    <w:rsid w:val="002676F9"/>
    <w:rsid w:val="00294E31"/>
    <w:rsid w:val="00296806"/>
    <w:rsid w:val="002B2AC0"/>
    <w:rsid w:val="002B4922"/>
    <w:rsid w:val="002C296B"/>
    <w:rsid w:val="002C2D19"/>
    <w:rsid w:val="002D10FA"/>
    <w:rsid w:val="002D4C55"/>
    <w:rsid w:val="002E6B62"/>
    <w:rsid w:val="002F1DBF"/>
    <w:rsid w:val="0031210C"/>
    <w:rsid w:val="0036054B"/>
    <w:rsid w:val="00361532"/>
    <w:rsid w:val="0038284B"/>
    <w:rsid w:val="00393F52"/>
    <w:rsid w:val="003A7A47"/>
    <w:rsid w:val="003B659E"/>
    <w:rsid w:val="003D0413"/>
    <w:rsid w:val="003D2AD1"/>
    <w:rsid w:val="00400260"/>
    <w:rsid w:val="004058E1"/>
    <w:rsid w:val="0040691D"/>
    <w:rsid w:val="00412D52"/>
    <w:rsid w:val="0041400E"/>
    <w:rsid w:val="004266EC"/>
    <w:rsid w:val="0043146D"/>
    <w:rsid w:val="00435474"/>
    <w:rsid w:val="0043750A"/>
    <w:rsid w:val="004611F8"/>
    <w:rsid w:val="00476141"/>
    <w:rsid w:val="00487D67"/>
    <w:rsid w:val="004C5240"/>
    <w:rsid w:val="004D2F0E"/>
    <w:rsid w:val="004D4F7F"/>
    <w:rsid w:val="004E1C7B"/>
    <w:rsid w:val="004E2B44"/>
    <w:rsid w:val="004E5E66"/>
    <w:rsid w:val="005009FE"/>
    <w:rsid w:val="00502229"/>
    <w:rsid w:val="0050384E"/>
    <w:rsid w:val="00503B37"/>
    <w:rsid w:val="00503B4D"/>
    <w:rsid w:val="00504EE9"/>
    <w:rsid w:val="00527EAD"/>
    <w:rsid w:val="0054442C"/>
    <w:rsid w:val="00550285"/>
    <w:rsid w:val="00550F93"/>
    <w:rsid w:val="00551789"/>
    <w:rsid w:val="0057530B"/>
    <w:rsid w:val="005836F8"/>
    <w:rsid w:val="005918FA"/>
    <w:rsid w:val="005B7AE7"/>
    <w:rsid w:val="005E4FB1"/>
    <w:rsid w:val="005E61A8"/>
    <w:rsid w:val="005F2C33"/>
    <w:rsid w:val="005F6419"/>
    <w:rsid w:val="006056B3"/>
    <w:rsid w:val="00617400"/>
    <w:rsid w:val="006278FF"/>
    <w:rsid w:val="00633B08"/>
    <w:rsid w:val="00644F8C"/>
    <w:rsid w:val="00651FFC"/>
    <w:rsid w:val="00664950"/>
    <w:rsid w:val="00671C0C"/>
    <w:rsid w:val="00682484"/>
    <w:rsid w:val="00683220"/>
    <w:rsid w:val="00684325"/>
    <w:rsid w:val="00687FA0"/>
    <w:rsid w:val="006B7010"/>
    <w:rsid w:val="006E21FD"/>
    <w:rsid w:val="006F5A07"/>
    <w:rsid w:val="006F5B08"/>
    <w:rsid w:val="007145FF"/>
    <w:rsid w:val="0073092D"/>
    <w:rsid w:val="00732FC8"/>
    <w:rsid w:val="00751515"/>
    <w:rsid w:val="0075523E"/>
    <w:rsid w:val="00785232"/>
    <w:rsid w:val="007877A6"/>
    <w:rsid w:val="00787AD4"/>
    <w:rsid w:val="007A4E47"/>
    <w:rsid w:val="007C3ED0"/>
    <w:rsid w:val="007E01E9"/>
    <w:rsid w:val="007E0A5A"/>
    <w:rsid w:val="007F0D92"/>
    <w:rsid w:val="007F5D36"/>
    <w:rsid w:val="00804F01"/>
    <w:rsid w:val="00806A76"/>
    <w:rsid w:val="008108FB"/>
    <w:rsid w:val="00811C9D"/>
    <w:rsid w:val="008165E9"/>
    <w:rsid w:val="00816C80"/>
    <w:rsid w:val="0081739F"/>
    <w:rsid w:val="00841BCD"/>
    <w:rsid w:val="00851A8E"/>
    <w:rsid w:val="00861181"/>
    <w:rsid w:val="00872224"/>
    <w:rsid w:val="0087563F"/>
    <w:rsid w:val="00876856"/>
    <w:rsid w:val="008826C1"/>
    <w:rsid w:val="00886AC8"/>
    <w:rsid w:val="008A0738"/>
    <w:rsid w:val="008D20DB"/>
    <w:rsid w:val="008E53C3"/>
    <w:rsid w:val="008E61C6"/>
    <w:rsid w:val="0090091A"/>
    <w:rsid w:val="009042BD"/>
    <w:rsid w:val="00922DE2"/>
    <w:rsid w:val="009729F2"/>
    <w:rsid w:val="00974371"/>
    <w:rsid w:val="009743E0"/>
    <w:rsid w:val="00977E1D"/>
    <w:rsid w:val="009B0E1F"/>
    <w:rsid w:val="009B31F4"/>
    <w:rsid w:val="009C04E9"/>
    <w:rsid w:val="009C073D"/>
    <w:rsid w:val="009C0F5E"/>
    <w:rsid w:val="009E295C"/>
    <w:rsid w:val="009F0C19"/>
    <w:rsid w:val="009F4D84"/>
    <w:rsid w:val="009F7342"/>
    <w:rsid w:val="00A0766A"/>
    <w:rsid w:val="00A119DA"/>
    <w:rsid w:val="00A22B78"/>
    <w:rsid w:val="00A25AE5"/>
    <w:rsid w:val="00A37002"/>
    <w:rsid w:val="00A671B5"/>
    <w:rsid w:val="00AA085F"/>
    <w:rsid w:val="00AA1B0E"/>
    <w:rsid w:val="00AA30EE"/>
    <w:rsid w:val="00AC5CA7"/>
    <w:rsid w:val="00AD5346"/>
    <w:rsid w:val="00AE56B1"/>
    <w:rsid w:val="00AE6699"/>
    <w:rsid w:val="00B341AC"/>
    <w:rsid w:val="00B41678"/>
    <w:rsid w:val="00B533CA"/>
    <w:rsid w:val="00B548D4"/>
    <w:rsid w:val="00B63333"/>
    <w:rsid w:val="00B73862"/>
    <w:rsid w:val="00B94658"/>
    <w:rsid w:val="00BA15D6"/>
    <w:rsid w:val="00BA6E48"/>
    <w:rsid w:val="00BB4169"/>
    <w:rsid w:val="00BC2E7A"/>
    <w:rsid w:val="00BD075F"/>
    <w:rsid w:val="00BE3370"/>
    <w:rsid w:val="00BE49C6"/>
    <w:rsid w:val="00BF2218"/>
    <w:rsid w:val="00C220CC"/>
    <w:rsid w:val="00C2314D"/>
    <w:rsid w:val="00C41A59"/>
    <w:rsid w:val="00C570E1"/>
    <w:rsid w:val="00C57743"/>
    <w:rsid w:val="00C61DBC"/>
    <w:rsid w:val="00C77AB7"/>
    <w:rsid w:val="00C86FC9"/>
    <w:rsid w:val="00C92ECB"/>
    <w:rsid w:val="00CB0A5D"/>
    <w:rsid w:val="00CD51E0"/>
    <w:rsid w:val="00CD7492"/>
    <w:rsid w:val="00CE3A6B"/>
    <w:rsid w:val="00CF01BC"/>
    <w:rsid w:val="00D00211"/>
    <w:rsid w:val="00D06309"/>
    <w:rsid w:val="00D351EA"/>
    <w:rsid w:val="00D35F5C"/>
    <w:rsid w:val="00D43403"/>
    <w:rsid w:val="00D534B1"/>
    <w:rsid w:val="00D62E71"/>
    <w:rsid w:val="00D72EAD"/>
    <w:rsid w:val="00D740CA"/>
    <w:rsid w:val="00D85728"/>
    <w:rsid w:val="00DB4EF3"/>
    <w:rsid w:val="00DB6C41"/>
    <w:rsid w:val="00DD664F"/>
    <w:rsid w:val="00DD72ED"/>
    <w:rsid w:val="00DF2997"/>
    <w:rsid w:val="00E11A9A"/>
    <w:rsid w:val="00E16167"/>
    <w:rsid w:val="00E43A78"/>
    <w:rsid w:val="00E53FC6"/>
    <w:rsid w:val="00E73189"/>
    <w:rsid w:val="00E91B22"/>
    <w:rsid w:val="00E93090"/>
    <w:rsid w:val="00E9563D"/>
    <w:rsid w:val="00EC535A"/>
    <w:rsid w:val="00EC7BC3"/>
    <w:rsid w:val="00ED7600"/>
    <w:rsid w:val="00EF2A43"/>
    <w:rsid w:val="00EF3F70"/>
    <w:rsid w:val="00F01C8F"/>
    <w:rsid w:val="00F1362C"/>
    <w:rsid w:val="00F25F89"/>
    <w:rsid w:val="00F27E31"/>
    <w:rsid w:val="00F3785E"/>
    <w:rsid w:val="00F50224"/>
    <w:rsid w:val="00F55802"/>
    <w:rsid w:val="00F82070"/>
    <w:rsid w:val="00F824F5"/>
    <w:rsid w:val="00F84CDA"/>
    <w:rsid w:val="00F86849"/>
    <w:rsid w:val="00F86C2D"/>
    <w:rsid w:val="00F86EB1"/>
    <w:rsid w:val="00FB145E"/>
    <w:rsid w:val="00FB5231"/>
    <w:rsid w:val="00FB743C"/>
    <w:rsid w:val="00FC29B9"/>
    <w:rsid w:val="00FC6FD3"/>
    <w:rsid w:val="00FC78DD"/>
    <w:rsid w:val="00FD187D"/>
    <w:rsid w:val="00FD7F52"/>
    <w:rsid w:val="00FE01B9"/>
    <w:rsid w:val="00FE72B2"/>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4D1C9"/>
  <w15:chartTrackingRefBased/>
  <w15:docId w15:val="{B91F1A35-CA21-437B-B813-2FB4C21CD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8165E9"/>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20301C"/>
    <w:rPr>
      <w:sz w:val="16"/>
      <w:szCs w:val="16"/>
    </w:rPr>
  </w:style>
  <w:style w:type="paragraph" w:styleId="CommentText">
    <w:name w:val="annotation text"/>
    <w:basedOn w:val="Normal"/>
    <w:link w:val="CommentTextChar"/>
    <w:uiPriority w:val="99"/>
    <w:semiHidden/>
    <w:unhideWhenUsed/>
    <w:rsid w:val="0020301C"/>
    <w:pPr>
      <w:spacing w:line="240" w:lineRule="auto"/>
    </w:pPr>
    <w:rPr>
      <w:szCs w:val="20"/>
    </w:rPr>
  </w:style>
  <w:style w:type="character" w:customStyle="1" w:styleId="CommentTextChar">
    <w:name w:val="Comment Text Char"/>
    <w:basedOn w:val="DefaultParagraphFont"/>
    <w:link w:val="CommentText"/>
    <w:uiPriority w:val="99"/>
    <w:semiHidden/>
    <w:rsid w:val="00203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301C"/>
    <w:rPr>
      <w:b/>
      <w:bCs/>
    </w:rPr>
  </w:style>
  <w:style w:type="character" w:customStyle="1" w:styleId="CommentSubjectChar">
    <w:name w:val="Comment Subject Char"/>
    <w:basedOn w:val="CommentTextChar"/>
    <w:link w:val="CommentSubject"/>
    <w:uiPriority w:val="99"/>
    <w:semiHidden/>
    <w:rsid w:val="0020301C"/>
    <w:rPr>
      <w:rFonts w:ascii="Times New Roman" w:hAnsi="Times New Roman"/>
      <w:b/>
      <w:bCs/>
      <w:sz w:val="20"/>
      <w:szCs w:val="20"/>
    </w:rPr>
  </w:style>
  <w:style w:type="paragraph" w:styleId="BalloonText">
    <w:name w:val="Balloon Text"/>
    <w:basedOn w:val="Normal"/>
    <w:link w:val="BalloonTextChar"/>
    <w:uiPriority w:val="99"/>
    <w:semiHidden/>
    <w:unhideWhenUsed/>
    <w:rsid w:val="002030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01C"/>
    <w:rPr>
      <w:rFonts w:ascii="Segoe UI" w:hAnsi="Segoe UI" w:cs="Segoe UI"/>
      <w:sz w:val="18"/>
      <w:szCs w:val="18"/>
    </w:rPr>
  </w:style>
  <w:style w:type="paragraph" w:styleId="Header">
    <w:name w:val="header"/>
    <w:basedOn w:val="Normal"/>
    <w:link w:val="HeaderChar"/>
    <w:semiHidden/>
    <w:rsid w:val="00C86FC9"/>
    <w:pPr>
      <w:tabs>
        <w:tab w:val="center" w:pos="4153"/>
        <w:tab w:val="right" w:pos="8306"/>
      </w:tabs>
      <w:spacing w:after="0" w:line="240" w:lineRule="auto"/>
    </w:pPr>
    <w:rPr>
      <w:rFonts w:eastAsia="SimSun" w:cs="Times New Roman"/>
      <w:szCs w:val="20"/>
      <w:lang w:val="en-GB"/>
    </w:rPr>
  </w:style>
  <w:style w:type="character" w:customStyle="1" w:styleId="HeaderChar">
    <w:name w:val="Header Char"/>
    <w:basedOn w:val="DefaultParagraphFont"/>
    <w:link w:val="Header"/>
    <w:semiHidden/>
    <w:rsid w:val="00C86FC9"/>
    <w:rPr>
      <w:rFonts w:ascii="Times New Roman" w:eastAsia="SimSun" w:hAnsi="Times New Roman" w:cs="Times New Roman"/>
      <w:sz w:val="20"/>
      <w:szCs w:val="20"/>
      <w:lang w:val="en-GB"/>
    </w:rPr>
  </w:style>
  <w:style w:type="character" w:customStyle="1" w:styleId="TACChar">
    <w:name w:val="TAC Char"/>
    <w:link w:val="TAC"/>
    <w:locked/>
    <w:rsid w:val="000000CA"/>
    <w:rPr>
      <w:rFonts w:ascii="Arial" w:hAnsi="Arial" w:cs="Arial"/>
      <w:sz w:val="18"/>
      <w:lang w:val="en-GB"/>
    </w:rPr>
  </w:style>
  <w:style w:type="paragraph" w:customStyle="1" w:styleId="TAC">
    <w:name w:val="TAC"/>
    <w:basedOn w:val="Normal"/>
    <w:link w:val="TACChar"/>
    <w:rsid w:val="000000CA"/>
    <w:pPr>
      <w:keepNext/>
      <w:keepLines/>
      <w:spacing w:after="0" w:line="240" w:lineRule="auto"/>
      <w:jc w:val="center"/>
    </w:pPr>
    <w:rPr>
      <w:rFonts w:ascii="Arial" w:hAnsi="Arial" w:cs="Arial"/>
      <w:sz w:val="18"/>
      <w:lang w:val="en-GB"/>
    </w:rPr>
  </w:style>
  <w:style w:type="character" w:customStyle="1" w:styleId="THChar">
    <w:name w:val="TH Char"/>
    <w:link w:val="TH"/>
    <w:locked/>
    <w:rsid w:val="000000CA"/>
    <w:rPr>
      <w:rFonts w:ascii="Arial" w:hAnsi="Arial" w:cs="Arial"/>
      <w:b/>
      <w:lang w:val="en-GB"/>
    </w:rPr>
  </w:style>
  <w:style w:type="paragraph" w:customStyle="1" w:styleId="TH">
    <w:name w:val="TH"/>
    <w:basedOn w:val="Normal"/>
    <w:link w:val="THChar"/>
    <w:rsid w:val="000000CA"/>
    <w:pPr>
      <w:keepNext/>
      <w:keepLines/>
      <w:spacing w:before="60" w:after="180" w:line="240" w:lineRule="auto"/>
      <w:jc w:val="center"/>
    </w:pPr>
    <w:rPr>
      <w:rFonts w:ascii="Arial" w:hAnsi="Arial" w:cs="Arial"/>
      <w:b/>
      <w:sz w:val="22"/>
      <w:lang w:val="en-GB"/>
    </w:rPr>
  </w:style>
  <w:style w:type="paragraph" w:customStyle="1" w:styleId="TAH">
    <w:name w:val="TAH"/>
    <w:basedOn w:val="TAC"/>
    <w:link w:val="TAHCar"/>
    <w:rsid w:val="000000CA"/>
    <w:rPr>
      <w:b/>
    </w:rPr>
  </w:style>
  <w:style w:type="character" w:customStyle="1" w:styleId="TAHCar">
    <w:name w:val="TAH Car"/>
    <w:link w:val="TAH"/>
    <w:locked/>
    <w:rsid w:val="000000CA"/>
    <w:rPr>
      <w:rFonts w:ascii="Arial" w:hAnsi="Arial" w:cs="Arial"/>
      <w:b/>
      <w:sz w:val="18"/>
      <w:lang w:val="en-GB"/>
    </w:rPr>
  </w:style>
  <w:style w:type="paragraph" w:customStyle="1" w:styleId="Doc-text2">
    <w:name w:val="Doc-text2"/>
    <w:basedOn w:val="Normal"/>
    <w:link w:val="Doc-text2Char"/>
    <w:qFormat/>
    <w:rsid w:val="00527EAD"/>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527EAD"/>
    <w:rPr>
      <w:rFonts w:ascii="Arial" w:eastAsia="MS Mincho" w:hAnsi="Arial" w:cs="Times New Roman"/>
      <w:sz w:val="20"/>
      <w:szCs w:val="24"/>
      <w:lang w:val="en-GB" w:eastAsia="en-GB"/>
    </w:rPr>
  </w:style>
  <w:style w:type="character" w:styleId="UnresolvedMention">
    <w:name w:val="Unresolved Mention"/>
    <w:basedOn w:val="DefaultParagraphFont"/>
    <w:uiPriority w:val="99"/>
    <w:semiHidden/>
    <w:unhideWhenUsed/>
    <w:rsid w:val="00527EA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749">
      <w:bodyDiv w:val="1"/>
      <w:marLeft w:val="0"/>
      <w:marRight w:val="0"/>
      <w:marTop w:val="0"/>
      <w:marBottom w:val="0"/>
      <w:divBdr>
        <w:top w:val="none" w:sz="0" w:space="0" w:color="auto"/>
        <w:left w:val="none" w:sz="0" w:space="0" w:color="auto"/>
        <w:bottom w:val="none" w:sz="0" w:space="0" w:color="auto"/>
        <w:right w:val="none" w:sz="0" w:space="0" w:color="auto"/>
      </w:divBdr>
    </w:div>
    <w:div w:id="336004744">
      <w:bodyDiv w:val="1"/>
      <w:marLeft w:val="0"/>
      <w:marRight w:val="0"/>
      <w:marTop w:val="0"/>
      <w:marBottom w:val="0"/>
      <w:divBdr>
        <w:top w:val="none" w:sz="0" w:space="0" w:color="auto"/>
        <w:left w:val="none" w:sz="0" w:space="0" w:color="auto"/>
        <w:bottom w:val="none" w:sz="0" w:space="0" w:color="auto"/>
        <w:right w:val="none" w:sz="0" w:space="0" w:color="auto"/>
      </w:divBdr>
      <w:divsChild>
        <w:div w:id="1864829673">
          <w:marLeft w:val="547"/>
          <w:marRight w:val="0"/>
          <w:marTop w:val="130"/>
          <w:marBottom w:val="0"/>
          <w:divBdr>
            <w:top w:val="none" w:sz="0" w:space="0" w:color="auto"/>
            <w:left w:val="none" w:sz="0" w:space="0" w:color="auto"/>
            <w:bottom w:val="none" w:sz="0" w:space="0" w:color="auto"/>
            <w:right w:val="none" w:sz="0" w:space="0" w:color="auto"/>
          </w:divBdr>
        </w:div>
        <w:div w:id="103117814">
          <w:marLeft w:val="1166"/>
          <w:marRight w:val="0"/>
          <w:marTop w:val="115"/>
          <w:marBottom w:val="0"/>
          <w:divBdr>
            <w:top w:val="none" w:sz="0" w:space="0" w:color="auto"/>
            <w:left w:val="none" w:sz="0" w:space="0" w:color="auto"/>
            <w:bottom w:val="none" w:sz="0" w:space="0" w:color="auto"/>
            <w:right w:val="none" w:sz="0" w:space="0" w:color="auto"/>
          </w:divBdr>
        </w:div>
        <w:div w:id="257107708">
          <w:marLeft w:val="1166"/>
          <w:marRight w:val="0"/>
          <w:marTop w:val="115"/>
          <w:marBottom w:val="0"/>
          <w:divBdr>
            <w:top w:val="none" w:sz="0" w:space="0" w:color="auto"/>
            <w:left w:val="none" w:sz="0" w:space="0" w:color="auto"/>
            <w:bottom w:val="none" w:sz="0" w:space="0" w:color="auto"/>
            <w:right w:val="none" w:sz="0" w:space="0" w:color="auto"/>
          </w:divBdr>
        </w:div>
      </w:divsChild>
    </w:div>
    <w:div w:id="387537629">
      <w:bodyDiv w:val="1"/>
      <w:marLeft w:val="0"/>
      <w:marRight w:val="0"/>
      <w:marTop w:val="0"/>
      <w:marBottom w:val="0"/>
      <w:divBdr>
        <w:top w:val="none" w:sz="0" w:space="0" w:color="auto"/>
        <w:left w:val="none" w:sz="0" w:space="0" w:color="auto"/>
        <w:bottom w:val="none" w:sz="0" w:space="0" w:color="auto"/>
        <w:right w:val="none" w:sz="0" w:space="0" w:color="auto"/>
      </w:divBdr>
      <w:divsChild>
        <w:div w:id="688028809">
          <w:marLeft w:val="547"/>
          <w:marRight w:val="0"/>
          <w:marTop w:val="130"/>
          <w:marBottom w:val="0"/>
          <w:divBdr>
            <w:top w:val="none" w:sz="0" w:space="0" w:color="auto"/>
            <w:left w:val="none" w:sz="0" w:space="0" w:color="auto"/>
            <w:bottom w:val="none" w:sz="0" w:space="0" w:color="auto"/>
            <w:right w:val="none" w:sz="0" w:space="0" w:color="auto"/>
          </w:divBdr>
        </w:div>
        <w:div w:id="495848375">
          <w:marLeft w:val="1166"/>
          <w:marRight w:val="0"/>
          <w:marTop w:val="115"/>
          <w:marBottom w:val="0"/>
          <w:divBdr>
            <w:top w:val="none" w:sz="0" w:space="0" w:color="auto"/>
            <w:left w:val="none" w:sz="0" w:space="0" w:color="auto"/>
            <w:bottom w:val="none" w:sz="0" w:space="0" w:color="auto"/>
            <w:right w:val="none" w:sz="0" w:space="0" w:color="auto"/>
          </w:divBdr>
        </w:div>
        <w:div w:id="534078052">
          <w:marLeft w:val="1166"/>
          <w:marRight w:val="0"/>
          <w:marTop w:val="115"/>
          <w:marBottom w:val="0"/>
          <w:divBdr>
            <w:top w:val="none" w:sz="0" w:space="0" w:color="auto"/>
            <w:left w:val="none" w:sz="0" w:space="0" w:color="auto"/>
            <w:bottom w:val="none" w:sz="0" w:space="0" w:color="auto"/>
            <w:right w:val="none" w:sz="0" w:space="0" w:color="auto"/>
          </w:divBdr>
        </w:div>
        <w:div w:id="1499081119">
          <w:marLeft w:val="547"/>
          <w:marRight w:val="0"/>
          <w:marTop w:val="130"/>
          <w:marBottom w:val="0"/>
          <w:divBdr>
            <w:top w:val="none" w:sz="0" w:space="0" w:color="auto"/>
            <w:left w:val="none" w:sz="0" w:space="0" w:color="auto"/>
            <w:bottom w:val="none" w:sz="0" w:space="0" w:color="auto"/>
            <w:right w:val="none" w:sz="0" w:space="0" w:color="auto"/>
          </w:divBdr>
        </w:div>
        <w:div w:id="299576813">
          <w:marLeft w:val="547"/>
          <w:marRight w:val="0"/>
          <w:marTop w:val="130"/>
          <w:marBottom w:val="0"/>
          <w:divBdr>
            <w:top w:val="none" w:sz="0" w:space="0" w:color="auto"/>
            <w:left w:val="none" w:sz="0" w:space="0" w:color="auto"/>
            <w:bottom w:val="none" w:sz="0" w:space="0" w:color="auto"/>
            <w:right w:val="none" w:sz="0" w:space="0" w:color="auto"/>
          </w:divBdr>
        </w:div>
        <w:div w:id="382993297">
          <w:marLeft w:val="1166"/>
          <w:marRight w:val="0"/>
          <w:marTop w:val="115"/>
          <w:marBottom w:val="0"/>
          <w:divBdr>
            <w:top w:val="none" w:sz="0" w:space="0" w:color="auto"/>
            <w:left w:val="none" w:sz="0" w:space="0" w:color="auto"/>
            <w:bottom w:val="none" w:sz="0" w:space="0" w:color="auto"/>
            <w:right w:val="none" w:sz="0" w:space="0" w:color="auto"/>
          </w:divBdr>
        </w:div>
        <w:div w:id="1674796543">
          <w:marLeft w:val="1166"/>
          <w:marRight w:val="0"/>
          <w:marTop w:val="115"/>
          <w:marBottom w:val="0"/>
          <w:divBdr>
            <w:top w:val="none" w:sz="0" w:space="0" w:color="auto"/>
            <w:left w:val="none" w:sz="0" w:space="0" w:color="auto"/>
            <w:bottom w:val="none" w:sz="0" w:space="0" w:color="auto"/>
            <w:right w:val="none" w:sz="0" w:space="0" w:color="auto"/>
          </w:divBdr>
        </w:div>
      </w:divsChild>
    </w:div>
    <w:div w:id="492376737">
      <w:bodyDiv w:val="1"/>
      <w:marLeft w:val="0"/>
      <w:marRight w:val="0"/>
      <w:marTop w:val="0"/>
      <w:marBottom w:val="0"/>
      <w:divBdr>
        <w:top w:val="none" w:sz="0" w:space="0" w:color="auto"/>
        <w:left w:val="none" w:sz="0" w:space="0" w:color="auto"/>
        <w:bottom w:val="none" w:sz="0" w:space="0" w:color="auto"/>
        <w:right w:val="none" w:sz="0" w:space="0" w:color="auto"/>
      </w:divBdr>
    </w:div>
    <w:div w:id="505443600">
      <w:bodyDiv w:val="1"/>
      <w:marLeft w:val="0"/>
      <w:marRight w:val="0"/>
      <w:marTop w:val="0"/>
      <w:marBottom w:val="0"/>
      <w:divBdr>
        <w:top w:val="none" w:sz="0" w:space="0" w:color="auto"/>
        <w:left w:val="none" w:sz="0" w:space="0" w:color="auto"/>
        <w:bottom w:val="none" w:sz="0" w:space="0" w:color="auto"/>
        <w:right w:val="none" w:sz="0" w:space="0" w:color="auto"/>
      </w:divBdr>
      <w:divsChild>
        <w:div w:id="597641001">
          <w:marLeft w:val="360"/>
          <w:marRight w:val="0"/>
          <w:marTop w:val="200"/>
          <w:marBottom w:val="0"/>
          <w:divBdr>
            <w:top w:val="none" w:sz="0" w:space="0" w:color="auto"/>
            <w:left w:val="none" w:sz="0" w:space="0" w:color="auto"/>
            <w:bottom w:val="none" w:sz="0" w:space="0" w:color="auto"/>
            <w:right w:val="none" w:sz="0" w:space="0" w:color="auto"/>
          </w:divBdr>
        </w:div>
        <w:div w:id="1892381696">
          <w:marLeft w:val="360"/>
          <w:marRight w:val="0"/>
          <w:marTop w:val="200"/>
          <w:marBottom w:val="0"/>
          <w:divBdr>
            <w:top w:val="none" w:sz="0" w:space="0" w:color="auto"/>
            <w:left w:val="none" w:sz="0" w:space="0" w:color="auto"/>
            <w:bottom w:val="none" w:sz="0" w:space="0" w:color="auto"/>
            <w:right w:val="none" w:sz="0" w:space="0" w:color="auto"/>
          </w:divBdr>
        </w:div>
      </w:divsChild>
    </w:div>
    <w:div w:id="508371864">
      <w:bodyDiv w:val="1"/>
      <w:marLeft w:val="0"/>
      <w:marRight w:val="0"/>
      <w:marTop w:val="0"/>
      <w:marBottom w:val="0"/>
      <w:divBdr>
        <w:top w:val="none" w:sz="0" w:space="0" w:color="auto"/>
        <w:left w:val="none" w:sz="0" w:space="0" w:color="auto"/>
        <w:bottom w:val="none" w:sz="0" w:space="0" w:color="auto"/>
        <w:right w:val="none" w:sz="0" w:space="0" w:color="auto"/>
      </w:divBdr>
    </w:div>
    <w:div w:id="628584595">
      <w:bodyDiv w:val="1"/>
      <w:marLeft w:val="0"/>
      <w:marRight w:val="0"/>
      <w:marTop w:val="0"/>
      <w:marBottom w:val="0"/>
      <w:divBdr>
        <w:top w:val="none" w:sz="0" w:space="0" w:color="auto"/>
        <w:left w:val="none" w:sz="0" w:space="0" w:color="auto"/>
        <w:bottom w:val="none" w:sz="0" w:space="0" w:color="auto"/>
        <w:right w:val="none" w:sz="0" w:space="0" w:color="auto"/>
      </w:divBdr>
    </w:div>
    <w:div w:id="954944136">
      <w:bodyDiv w:val="1"/>
      <w:marLeft w:val="0"/>
      <w:marRight w:val="0"/>
      <w:marTop w:val="0"/>
      <w:marBottom w:val="0"/>
      <w:divBdr>
        <w:top w:val="none" w:sz="0" w:space="0" w:color="auto"/>
        <w:left w:val="none" w:sz="0" w:space="0" w:color="auto"/>
        <w:bottom w:val="none" w:sz="0" w:space="0" w:color="auto"/>
        <w:right w:val="none" w:sz="0" w:space="0" w:color="auto"/>
      </w:divBdr>
    </w:div>
    <w:div w:id="1231888207">
      <w:bodyDiv w:val="1"/>
      <w:marLeft w:val="0"/>
      <w:marRight w:val="0"/>
      <w:marTop w:val="0"/>
      <w:marBottom w:val="0"/>
      <w:divBdr>
        <w:top w:val="none" w:sz="0" w:space="0" w:color="auto"/>
        <w:left w:val="none" w:sz="0" w:space="0" w:color="auto"/>
        <w:bottom w:val="none" w:sz="0" w:space="0" w:color="auto"/>
        <w:right w:val="none" w:sz="0" w:space="0" w:color="auto"/>
      </w:divBdr>
    </w:div>
    <w:div w:id="1272200915">
      <w:bodyDiv w:val="1"/>
      <w:marLeft w:val="0"/>
      <w:marRight w:val="0"/>
      <w:marTop w:val="0"/>
      <w:marBottom w:val="0"/>
      <w:divBdr>
        <w:top w:val="none" w:sz="0" w:space="0" w:color="auto"/>
        <w:left w:val="none" w:sz="0" w:space="0" w:color="auto"/>
        <w:bottom w:val="none" w:sz="0" w:space="0" w:color="auto"/>
        <w:right w:val="none" w:sz="0" w:space="0" w:color="auto"/>
      </w:divBdr>
      <w:divsChild>
        <w:div w:id="61223634">
          <w:marLeft w:val="1800"/>
          <w:marRight w:val="0"/>
          <w:marTop w:val="100"/>
          <w:marBottom w:val="0"/>
          <w:divBdr>
            <w:top w:val="none" w:sz="0" w:space="0" w:color="auto"/>
            <w:left w:val="none" w:sz="0" w:space="0" w:color="auto"/>
            <w:bottom w:val="none" w:sz="0" w:space="0" w:color="auto"/>
            <w:right w:val="none" w:sz="0" w:space="0" w:color="auto"/>
          </w:divBdr>
        </w:div>
        <w:div w:id="488636855">
          <w:marLeft w:val="1800"/>
          <w:marRight w:val="0"/>
          <w:marTop w:val="100"/>
          <w:marBottom w:val="0"/>
          <w:divBdr>
            <w:top w:val="none" w:sz="0" w:space="0" w:color="auto"/>
            <w:left w:val="none" w:sz="0" w:space="0" w:color="auto"/>
            <w:bottom w:val="none" w:sz="0" w:space="0" w:color="auto"/>
            <w:right w:val="none" w:sz="0" w:space="0" w:color="auto"/>
          </w:divBdr>
        </w:div>
        <w:div w:id="791479511">
          <w:marLeft w:val="1800"/>
          <w:marRight w:val="0"/>
          <w:marTop w:val="100"/>
          <w:marBottom w:val="0"/>
          <w:divBdr>
            <w:top w:val="none" w:sz="0" w:space="0" w:color="auto"/>
            <w:left w:val="none" w:sz="0" w:space="0" w:color="auto"/>
            <w:bottom w:val="none" w:sz="0" w:space="0" w:color="auto"/>
            <w:right w:val="none" w:sz="0" w:space="0" w:color="auto"/>
          </w:divBdr>
        </w:div>
        <w:div w:id="893194360">
          <w:marLeft w:val="1080"/>
          <w:marRight w:val="0"/>
          <w:marTop w:val="100"/>
          <w:marBottom w:val="0"/>
          <w:divBdr>
            <w:top w:val="none" w:sz="0" w:space="0" w:color="auto"/>
            <w:left w:val="none" w:sz="0" w:space="0" w:color="auto"/>
            <w:bottom w:val="none" w:sz="0" w:space="0" w:color="auto"/>
            <w:right w:val="none" w:sz="0" w:space="0" w:color="auto"/>
          </w:divBdr>
        </w:div>
        <w:div w:id="909269854">
          <w:marLeft w:val="1080"/>
          <w:marRight w:val="0"/>
          <w:marTop w:val="100"/>
          <w:marBottom w:val="0"/>
          <w:divBdr>
            <w:top w:val="none" w:sz="0" w:space="0" w:color="auto"/>
            <w:left w:val="none" w:sz="0" w:space="0" w:color="auto"/>
            <w:bottom w:val="none" w:sz="0" w:space="0" w:color="auto"/>
            <w:right w:val="none" w:sz="0" w:space="0" w:color="auto"/>
          </w:divBdr>
        </w:div>
        <w:div w:id="1016274794">
          <w:marLeft w:val="1080"/>
          <w:marRight w:val="0"/>
          <w:marTop w:val="100"/>
          <w:marBottom w:val="0"/>
          <w:divBdr>
            <w:top w:val="none" w:sz="0" w:space="0" w:color="auto"/>
            <w:left w:val="none" w:sz="0" w:space="0" w:color="auto"/>
            <w:bottom w:val="none" w:sz="0" w:space="0" w:color="auto"/>
            <w:right w:val="none" w:sz="0" w:space="0" w:color="auto"/>
          </w:divBdr>
        </w:div>
        <w:div w:id="1118988031">
          <w:marLeft w:val="1800"/>
          <w:marRight w:val="0"/>
          <w:marTop w:val="100"/>
          <w:marBottom w:val="0"/>
          <w:divBdr>
            <w:top w:val="none" w:sz="0" w:space="0" w:color="auto"/>
            <w:left w:val="none" w:sz="0" w:space="0" w:color="auto"/>
            <w:bottom w:val="none" w:sz="0" w:space="0" w:color="auto"/>
            <w:right w:val="none" w:sz="0" w:space="0" w:color="auto"/>
          </w:divBdr>
        </w:div>
        <w:div w:id="1390037333">
          <w:marLeft w:val="1800"/>
          <w:marRight w:val="0"/>
          <w:marTop w:val="100"/>
          <w:marBottom w:val="0"/>
          <w:divBdr>
            <w:top w:val="none" w:sz="0" w:space="0" w:color="auto"/>
            <w:left w:val="none" w:sz="0" w:space="0" w:color="auto"/>
            <w:bottom w:val="none" w:sz="0" w:space="0" w:color="auto"/>
            <w:right w:val="none" w:sz="0" w:space="0" w:color="auto"/>
          </w:divBdr>
        </w:div>
        <w:div w:id="1472946213">
          <w:marLeft w:val="1800"/>
          <w:marRight w:val="0"/>
          <w:marTop w:val="100"/>
          <w:marBottom w:val="0"/>
          <w:divBdr>
            <w:top w:val="none" w:sz="0" w:space="0" w:color="auto"/>
            <w:left w:val="none" w:sz="0" w:space="0" w:color="auto"/>
            <w:bottom w:val="none" w:sz="0" w:space="0" w:color="auto"/>
            <w:right w:val="none" w:sz="0" w:space="0" w:color="auto"/>
          </w:divBdr>
        </w:div>
        <w:div w:id="1566405049">
          <w:marLeft w:val="1800"/>
          <w:marRight w:val="0"/>
          <w:marTop w:val="100"/>
          <w:marBottom w:val="0"/>
          <w:divBdr>
            <w:top w:val="none" w:sz="0" w:space="0" w:color="auto"/>
            <w:left w:val="none" w:sz="0" w:space="0" w:color="auto"/>
            <w:bottom w:val="none" w:sz="0" w:space="0" w:color="auto"/>
            <w:right w:val="none" w:sz="0" w:space="0" w:color="auto"/>
          </w:divBdr>
        </w:div>
        <w:div w:id="1946425587">
          <w:marLeft w:val="1080"/>
          <w:marRight w:val="0"/>
          <w:marTop w:val="100"/>
          <w:marBottom w:val="0"/>
          <w:divBdr>
            <w:top w:val="none" w:sz="0" w:space="0" w:color="auto"/>
            <w:left w:val="none" w:sz="0" w:space="0" w:color="auto"/>
            <w:bottom w:val="none" w:sz="0" w:space="0" w:color="auto"/>
            <w:right w:val="none" w:sz="0" w:space="0" w:color="auto"/>
          </w:divBdr>
        </w:div>
      </w:divsChild>
    </w:div>
    <w:div w:id="1428841789">
      <w:bodyDiv w:val="1"/>
      <w:marLeft w:val="0"/>
      <w:marRight w:val="0"/>
      <w:marTop w:val="0"/>
      <w:marBottom w:val="0"/>
      <w:divBdr>
        <w:top w:val="none" w:sz="0" w:space="0" w:color="auto"/>
        <w:left w:val="none" w:sz="0" w:space="0" w:color="auto"/>
        <w:bottom w:val="none" w:sz="0" w:space="0" w:color="auto"/>
        <w:right w:val="none" w:sz="0" w:space="0" w:color="auto"/>
      </w:divBdr>
      <w:divsChild>
        <w:div w:id="582884606">
          <w:marLeft w:val="1080"/>
          <w:marRight w:val="0"/>
          <w:marTop w:val="100"/>
          <w:marBottom w:val="0"/>
          <w:divBdr>
            <w:top w:val="none" w:sz="0" w:space="0" w:color="auto"/>
            <w:left w:val="none" w:sz="0" w:space="0" w:color="auto"/>
            <w:bottom w:val="none" w:sz="0" w:space="0" w:color="auto"/>
            <w:right w:val="none" w:sz="0" w:space="0" w:color="auto"/>
          </w:divBdr>
        </w:div>
        <w:div w:id="638000338">
          <w:marLeft w:val="1080"/>
          <w:marRight w:val="0"/>
          <w:marTop w:val="100"/>
          <w:marBottom w:val="0"/>
          <w:divBdr>
            <w:top w:val="none" w:sz="0" w:space="0" w:color="auto"/>
            <w:left w:val="none" w:sz="0" w:space="0" w:color="auto"/>
            <w:bottom w:val="none" w:sz="0" w:space="0" w:color="auto"/>
            <w:right w:val="none" w:sz="0" w:space="0" w:color="auto"/>
          </w:divBdr>
        </w:div>
        <w:div w:id="645672847">
          <w:marLeft w:val="360"/>
          <w:marRight w:val="0"/>
          <w:marTop w:val="200"/>
          <w:marBottom w:val="0"/>
          <w:divBdr>
            <w:top w:val="none" w:sz="0" w:space="0" w:color="auto"/>
            <w:left w:val="none" w:sz="0" w:space="0" w:color="auto"/>
            <w:bottom w:val="none" w:sz="0" w:space="0" w:color="auto"/>
            <w:right w:val="none" w:sz="0" w:space="0" w:color="auto"/>
          </w:divBdr>
        </w:div>
        <w:div w:id="690881203">
          <w:marLeft w:val="1080"/>
          <w:marRight w:val="0"/>
          <w:marTop w:val="100"/>
          <w:marBottom w:val="0"/>
          <w:divBdr>
            <w:top w:val="none" w:sz="0" w:space="0" w:color="auto"/>
            <w:left w:val="none" w:sz="0" w:space="0" w:color="auto"/>
            <w:bottom w:val="none" w:sz="0" w:space="0" w:color="auto"/>
            <w:right w:val="none" w:sz="0" w:space="0" w:color="auto"/>
          </w:divBdr>
        </w:div>
        <w:div w:id="1052659179">
          <w:marLeft w:val="1080"/>
          <w:marRight w:val="0"/>
          <w:marTop w:val="100"/>
          <w:marBottom w:val="0"/>
          <w:divBdr>
            <w:top w:val="none" w:sz="0" w:space="0" w:color="auto"/>
            <w:left w:val="none" w:sz="0" w:space="0" w:color="auto"/>
            <w:bottom w:val="none" w:sz="0" w:space="0" w:color="auto"/>
            <w:right w:val="none" w:sz="0" w:space="0" w:color="auto"/>
          </w:divBdr>
        </w:div>
        <w:div w:id="1090934080">
          <w:marLeft w:val="360"/>
          <w:marRight w:val="0"/>
          <w:marTop w:val="200"/>
          <w:marBottom w:val="0"/>
          <w:divBdr>
            <w:top w:val="none" w:sz="0" w:space="0" w:color="auto"/>
            <w:left w:val="none" w:sz="0" w:space="0" w:color="auto"/>
            <w:bottom w:val="none" w:sz="0" w:space="0" w:color="auto"/>
            <w:right w:val="none" w:sz="0" w:space="0" w:color="auto"/>
          </w:divBdr>
        </w:div>
        <w:div w:id="1283154625">
          <w:marLeft w:val="360"/>
          <w:marRight w:val="0"/>
          <w:marTop w:val="200"/>
          <w:marBottom w:val="0"/>
          <w:divBdr>
            <w:top w:val="none" w:sz="0" w:space="0" w:color="auto"/>
            <w:left w:val="none" w:sz="0" w:space="0" w:color="auto"/>
            <w:bottom w:val="none" w:sz="0" w:space="0" w:color="auto"/>
            <w:right w:val="none" w:sz="0" w:space="0" w:color="auto"/>
          </w:divBdr>
        </w:div>
        <w:div w:id="1309676437">
          <w:marLeft w:val="360"/>
          <w:marRight w:val="0"/>
          <w:marTop w:val="200"/>
          <w:marBottom w:val="0"/>
          <w:divBdr>
            <w:top w:val="none" w:sz="0" w:space="0" w:color="auto"/>
            <w:left w:val="none" w:sz="0" w:space="0" w:color="auto"/>
            <w:bottom w:val="none" w:sz="0" w:space="0" w:color="auto"/>
            <w:right w:val="none" w:sz="0" w:space="0" w:color="auto"/>
          </w:divBdr>
        </w:div>
        <w:div w:id="1606187579">
          <w:marLeft w:val="1080"/>
          <w:marRight w:val="0"/>
          <w:marTop w:val="100"/>
          <w:marBottom w:val="0"/>
          <w:divBdr>
            <w:top w:val="none" w:sz="0" w:space="0" w:color="auto"/>
            <w:left w:val="none" w:sz="0" w:space="0" w:color="auto"/>
            <w:bottom w:val="none" w:sz="0" w:space="0" w:color="auto"/>
            <w:right w:val="none" w:sz="0" w:space="0" w:color="auto"/>
          </w:divBdr>
        </w:div>
        <w:div w:id="1863475618">
          <w:marLeft w:val="1080"/>
          <w:marRight w:val="0"/>
          <w:marTop w:val="100"/>
          <w:marBottom w:val="0"/>
          <w:divBdr>
            <w:top w:val="none" w:sz="0" w:space="0" w:color="auto"/>
            <w:left w:val="none" w:sz="0" w:space="0" w:color="auto"/>
            <w:bottom w:val="none" w:sz="0" w:space="0" w:color="auto"/>
            <w:right w:val="none" w:sz="0" w:space="0" w:color="auto"/>
          </w:divBdr>
        </w:div>
        <w:div w:id="2035109784">
          <w:marLeft w:val="360"/>
          <w:marRight w:val="0"/>
          <w:marTop w:val="200"/>
          <w:marBottom w:val="0"/>
          <w:divBdr>
            <w:top w:val="none" w:sz="0" w:space="0" w:color="auto"/>
            <w:left w:val="none" w:sz="0" w:space="0" w:color="auto"/>
            <w:bottom w:val="none" w:sz="0" w:space="0" w:color="auto"/>
            <w:right w:val="none" w:sz="0" w:space="0" w:color="auto"/>
          </w:divBdr>
        </w:div>
      </w:divsChild>
    </w:div>
    <w:div w:id="1522469170">
      <w:bodyDiv w:val="1"/>
      <w:marLeft w:val="0"/>
      <w:marRight w:val="0"/>
      <w:marTop w:val="0"/>
      <w:marBottom w:val="0"/>
      <w:divBdr>
        <w:top w:val="none" w:sz="0" w:space="0" w:color="auto"/>
        <w:left w:val="none" w:sz="0" w:space="0" w:color="auto"/>
        <w:bottom w:val="none" w:sz="0" w:space="0" w:color="auto"/>
        <w:right w:val="none" w:sz="0" w:space="0" w:color="auto"/>
      </w:divBdr>
      <w:divsChild>
        <w:div w:id="2147116572">
          <w:marLeft w:val="547"/>
          <w:marRight w:val="0"/>
          <w:marTop w:val="134"/>
          <w:marBottom w:val="0"/>
          <w:divBdr>
            <w:top w:val="none" w:sz="0" w:space="0" w:color="auto"/>
            <w:left w:val="none" w:sz="0" w:space="0" w:color="auto"/>
            <w:bottom w:val="none" w:sz="0" w:space="0" w:color="auto"/>
            <w:right w:val="none" w:sz="0" w:space="0" w:color="auto"/>
          </w:divBdr>
        </w:div>
        <w:div w:id="1184242644">
          <w:marLeft w:val="1166"/>
          <w:marRight w:val="0"/>
          <w:marTop w:val="115"/>
          <w:marBottom w:val="0"/>
          <w:divBdr>
            <w:top w:val="none" w:sz="0" w:space="0" w:color="auto"/>
            <w:left w:val="none" w:sz="0" w:space="0" w:color="auto"/>
            <w:bottom w:val="none" w:sz="0" w:space="0" w:color="auto"/>
            <w:right w:val="none" w:sz="0" w:space="0" w:color="auto"/>
          </w:divBdr>
        </w:div>
        <w:div w:id="1537736888">
          <w:marLeft w:val="1166"/>
          <w:marRight w:val="0"/>
          <w:marTop w:val="115"/>
          <w:marBottom w:val="0"/>
          <w:divBdr>
            <w:top w:val="none" w:sz="0" w:space="0" w:color="auto"/>
            <w:left w:val="none" w:sz="0" w:space="0" w:color="auto"/>
            <w:bottom w:val="none" w:sz="0" w:space="0" w:color="auto"/>
            <w:right w:val="none" w:sz="0" w:space="0" w:color="auto"/>
          </w:divBdr>
        </w:div>
        <w:div w:id="1034766666">
          <w:marLeft w:val="1800"/>
          <w:marRight w:val="0"/>
          <w:marTop w:val="96"/>
          <w:marBottom w:val="0"/>
          <w:divBdr>
            <w:top w:val="none" w:sz="0" w:space="0" w:color="auto"/>
            <w:left w:val="none" w:sz="0" w:space="0" w:color="auto"/>
            <w:bottom w:val="none" w:sz="0" w:space="0" w:color="auto"/>
            <w:right w:val="none" w:sz="0" w:space="0" w:color="auto"/>
          </w:divBdr>
        </w:div>
        <w:div w:id="327489998">
          <w:marLeft w:val="1800"/>
          <w:marRight w:val="0"/>
          <w:marTop w:val="96"/>
          <w:marBottom w:val="0"/>
          <w:divBdr>
            <w:top w:val="none" w:sz="0" w:space="0" w:color="auto"/>
            <w:left w:val="none" w:sz="0" w:space="0" w:color="auto"/>
            <w:bottom w:val="none" w:sz="0" w:space="0" w:color="auto"/>
            <w:right w:val="none" w:sz="0" w:space="0" w:color="auto"/>
          </w:divBdr>
        </w:div>
        <w:div w:id="1819110936">
          <w:marLeft w:val="1800"/>
          <w:marRight w:val="0"/>
          <w:marTop w:val="96"/>
          <w:marBottom w:val="0"/>
          <w:divBdr>
            <w:top w:val="none" w:sz="0" w:space="0" w:color="auto"/>
            <w:left w:val="none" w:sz="0" w:space="0" w:color="auto"/>
            <w:bottom w:val="none" w:sz="0" w:space="0" w:color="auto"/>
            <w:right w:val="none" w:sz="0" w:space="0" w:color="auto"/>
          </w:divBdr>
        </w:div>
        <w:div w:id="1130130562">
          <w:marLeft w:val="547"/>
          <w:marRight w:val="0"/>
          <w:marTop w:val="134"/>
          <w:marBottom w:val="0"/>
          <w:divBdr>
            <w:top w:val="none" w:sz="0" w:space="0" w:color="auto"/>
            <w:left w:val="none" w:sz="0" w:space="0" w:color="auto"/>
            <w:bottom w:val="none" w:sz="0" w:space="0" w:color="auto"/>
            <w:right w:val="none" w:sz="0" w:space="0" w:color="auto"/>
          </w:divBdr>
        </w:div>
        <w:div w:id="982731997">
          <w:marLeft w:val="547"/>
          <w:marRight w:val="0"/>
          <w:marTop w:val="134"/>
          <w:marBottom w:val="0"/>
          <w:divBdr>
            <w:top w:val="none" w:sz="0" w:space="0" w:color="auto"/>
            <w:left w:val="none" w:sz="0" w:space="0" w:color="auto"/>
            <w:bottom w:val="none" w:sz="0" w:space="0" w:color="auto"/>
            <w:right w:val="none" w:sz="0" w:space="0" w:color="auto"/>
          </w:divBdr>
        </w:div>
      </w:divsChild>
    </w:div>
    <w:div w:id="1549340642">
      <w:bodyDiv w:val="1"/>
      <w:marLeft w:val="0"/>
      <w:marRight w:val="0"/>
      <w:marTop w:val="0"/>
      <w:marBottom w:val="0"/>
      <w:divBdr>
        <w:top w:val="none" w:sz="0" w:space="0" w:color="auto"/>
        <w:left w:val="none" w:sz="0" w:space="0" w:color="auto"/>
        <w:bottom w:val="none" w:sz="0" w:space="0" w:color="auto"/>
        <w:right w:val="none" w:sz="0" w:space="0" w:color="auto"/>
      </w:divBdr>
      <w:divsChild>
        <w:div w:id="358822340">
          <w:marLeft w:val="547"/>
          <w:marRight w:val="0"/>
          <w:marTop w:val="125"/>
          <w:marBottom w:val="0"/>
          <w:divBdr>
            <w:top w:val="none" w:sz="0" w:space="0" w:color="auto"/>
            <w:left w:val="none" w:sz="0" w:space="0" w:color="auto"/>
            <w:bottom w:val="none" w:sz="0" w:space="0" w:color="auto"/>
            <w:right w:val="none" w:sz="0" w:space="0" w:color="auto"/>
          </w:divBdr>
        </w:div>
        <w:div w:id="1267344439">
          <w:marLeft w:val="1166"/>
          <w:marRight w:val="0"/>
          <w:marTop w:val="106"/>
          <w:marBottom w:val="0"/>
          <w:divBdr>
            <w:top w:val="none" w:sz="0" w:space="0" w:color="auto"/>
            <w:left w:val="none" w:sz="0" w:space="0" w:color="auto"/>
            <w:bottom w:val="none" w:sz="0" w:space="0" w:color="auto"/>
            <w:right w:val="none" w:sz="0" w:space="0" w:color="auto"/>
          </w:divBdr>
        </w:div>
        <w:div w:id="874080260">
          <w:marLeft w:val="1166"/>
          <w:marRight w:val="0"/>
          <w:marTop w:val="106"/>
          <w:marBottom w:val="0"/>
          <w:divBdr>
            <w:top w:val="none" w:sz="0" w:space="0" w:color="auto"/>
            <w:left w:val="none" w:sz="0" w:space="0" w:color="auto"/>
            <w:bottom w:val="none" w:sz="0" w:space="0" w:color="auto"/>
            <w:right w:val="none" w:sz="0" w:space="0" w:color="auto"/>
          </w:divBdr>
        </w:div>
        <w:div w:id="876745787">
          <w:marLeft w:val="1166"/>
          <w:marRight w:val="0"/>
          <w:marTop w:val="106"/>
          <w:marBottom w:val="0"/>
          <w:divBdr>
            <w:top w:val="none" w:sz="0" w:space="0" w:color="auto"/>
            <w:left w:val="none" w:sz="0" w:space="0" w:color="auto"/>
            <w:bottom w:val="none" w:sz="0" w:space="0" w:color="auto"/>
            <w:right w:val="none" w:sz="0" w:space="0" w:color="auto"/>
          </w:divBdr>
        </w:div>
        <w:div w:id="426267595">
          <w:marLeft w:val="1166"/>
          <w:marRight w:val="0"/>
          <w:marTop w:val="106"/>
          <w:marBottom w:val="0"/>
          <w:divBdr>
            <w:top w:val="none" w:sz="0" w:space="0" w:color="auto"/>
            <w:left w:val="none" w:sz="0" w:space="0" w:color="auto"/>
            <w:bottom w:val="none" w:sz="0" w:space="0" w:color="auto"/>
            <w:right w:val="none" w:sz="0" w:space="0" w:color="auto"/>
          </w:divBdr>
        </w:div>
        <w:div w:id="1696224530">
          <w:marLeft w:val="1166"/>
          <w:marRight w:val="0"/>
          <w:marTop w:val="106"/>
          <w:marBottom w:val="0"/>
          <w:divBdr>
            <w:top w:val="none" w:sz="0" w:space="0" w:color="auto"/>
            <w:left w:val="none" w:sz="0" w:space="0" w:color="auto"/>
            <w:bottom w:val="none" w:sz="0" w:space="0" w:color="auto"/>
            <w:right w:val="none" w:sz="0" w:space="0" w:color="auto"/>
          </w:divBdr>
        </w:div>
        <w:div w:id="1443528602">
          <w:marLeft w:val="1166"/>
          <w:marRight w:val="0"/>
          <w:marTop w:val="106"/>
          <w:marBottom w:val="0"/>
          <w:divBdr>
            <w:top w:val="none" w:sz="0" w:space="0" w:color="auto"/>
            <w:left w:val="none" w:sz="0" w:space="0" w:color="auto"/>
            <w:bottom w:val="none" w:sz="0" w:space="0" w:color="auto"/>
            <w:right w:val="none" w:sz="0" w:space="0" w:color="auto"/>
          </w:divBdr>
        </w:div>
        <w:div w:id="1814904041">
          <w:marLeft w:val="547"/>
          <w:marRight w:val="0"/>
          <w:marTop w:val="125"/>
          <w:marBottom w:val="0"/>
          <w:divBdr>
            <w:top w:val="none" w:sz="0" w:space="0" w:color="auto"/>
            <w:left w:val="none" w:sz="0" w:space="0" w:color="auto"/>
            <w:bottom w:val="none" w:sz="0" w:space="0" w:color="auto"/>
            <w:right w:val="none" w:sz="0" w:space="0" w:color="auto"/>
          </w:divBdr>
        </w:div>
      </w:divsChild>
    </w:div>
    <w:div w:id="1636061746">
      <w:bodyDiv w:val="1"/>
      <w:marLeft w:val="0"/>
      <w:marRight w:val="0"/>
      <w:marTop w:val="0"/>
      <w:marBottom w:val="0"/>
      <w:divBdr>
        <w:top w:val="none" w:sz="0" w:space="0" w:color="auto"/>
        <w:left w:val="none" w:sz="0" w:space="0" w:color="auto"/>
        <w:bottom w:val="none" w:sz="0" w:space="0" w:color="auto"/>
        <w:right w:val="none" w:sz="0" w:space="0" w:color="auto"/>
      </w:divBdr>
    </w:div>
    <w:div w:id="1651446061">
      <w:bodyDiv w:val="1"/>
      <w:marLeft w:val="0"/>
      <w:marRight w:val="0"/>
      <w:marTop w:val="0"/>
      <w:marBottom w:val="0"/>
      <w:divBdr>
        <w:top w:val="none" w:sz="0" w:space="0" w:color="auto"/>
        <w:left w:val="none" w:sz="0" w:space="0" w:color="auto"/>
        <w:bottom w:val="none" w:sz="0" w:space="0" w:color="auto"/>
        <w:right w:val="none" w:sz="0" w:space="0" w:color="auto"/>
      </w:divBdr>
      <w:divsChild>
        <w:div w:id="627316934">
          <w:marLeft w:val="1080"/>
          <w:marRight w:val="0"/>
          <w:marTop w:val="100"/>
          <w:marBottom w:val="0"/>
          <w:divBdr>
            <w:top w:val="none" w:sz="0" w:space="0" w:color="auto"/>
            <w:left w:val="none" w:sz="0" w:space="0" w:color="auto"/>
            <w:bottom w:val="none" w:sz="0" w:space="0" w:color="auto"/>
            <w:right w:val="none" w:sz="0" w:space="0" w:color="auto"/>
          </w:divBdr>
        </w:div>
        <w:div w:id="1232689406">
          <w:marLeft w:val="1800"/>
          <w:marRight w:val="0"/>
          <w:marTop w:val="100"/>
          <w:marBottom w:val="0"/>
          <w:divBdr>
            <w:top w:val="none" w:sz="0" w:space="0" w:color="auto"/>
            <w:left w:val="none" w:sz="0" w:space="0" w:color="auto"/>
            <w:bottom w:val="none" w:sz="0" w:space="0" w:color="auto"/>
            <w:right w:val="none" w:sz="0" w:space="0" w:color="auto"/>
          </w:divBdr>
        </w:div>
        <w:div w:id="1733892004">
          <w:marLeft w:val="1800"/>
          <w:marRight w:val="0"/>
          <w:marTop w:val="100"/>
          <w:marBottom w:val="0"/>
          <w:divBdr>
            <w:top w:val="none" w:sz="0" w:space="0" w:color="auto"/>
            <w:left w:val="none" w:sz="0" w:space="0" w:color="auto"/>
            <w:bottom w:val="none" w:sz="0" w:space="0" w:color="auto"/>
            <w:right w:val="none" w:sz="0" w:space="0" w:color="auto"/>
          </w:divBdr>
        </w:div>
        <w:div w:id="2077582046">
          <w:marLeft w:val="1800"/>
          <w:marRight w:val="0"/>
          <w:marTop w:val="100"/>
          <w:marBottom w:val="0"/>
          <w:divBdr>
            <w:top w:val="none" w:sz="0" w:space="0" w:color="auto"/>
            <w:left w:val="none" w:sz="0" w:space="0" w:color="auto"/>
            <w:bottom w:val="none" w:sz="0" w:space="0" w:color="auto"/>
            <w:right w:val="none" w:sz="0" w:space="0" w:color="auto"/>
          </w:divBdr>
        </w:div>
        <w:div w:id="2107312311">
          <w:marLeft w:val="1800"/>
          <w:marRight w:val="0"/>
          <w:marTop w:val="100"/>
          <w:marBottom w:val="0"/>
          <w:divBdr>
            <w:top w:val="none" w:sz="0" w:space="0" w:color="auto"/>
            <w:left w:val="none" w:sz="0" w:space="0" w:color="auto"/>
            <w:bottom w:val="none" w:sz="0" w:space="0" w:color="auto"/>
            <w:right w:val="none" w:sz="0" w:space="0" w:color="auto"/>
          </w:divBdr>
        </w:div>
      </w:divsChild>
    </w:div>
    <w:div w:id="1655836019">
      <w:bodyDiv w:val="1"/>
      <w:marLeft w:val="0"/>
      <w:marRight w:val="0"/>
      <w:marTop w:val="0"/>
      <w:marBottom w:val="0"/>
      <w:divBdr>
        <w:top w:val="none" w:sz="0" w:space="0" w:color="auto"/>
        <w:left w:val="none" w:sz="0" w:space="0" w:color="auto"/>
        <w:bottom w:val="none" w:sz="0" w:space="0" w:color="auto"/>
        <w:right w:val="none" w:sz="0" w:space="0" w:color="auto"/>
      </w:divBdr>
    </w:div>
    <w:div w:id="1814133577">
      <w:bodyDiv w:val="1"/>
      <w:marLeft w:val="0"/>
      <w:marRight w:val="0"/>
      <w:marTop w:val="0"/>
      <w:marBottom w:val="0"/>
      <w:divBdr>
        <w:top w:val="none" w:sz="0" w:space="0" w:color="auto"/>
        <w:left w:val="none" w:sz="0" w:space="0" w:color="auto"/>
        <w:bottom w:val="none" w:sz="0" w:space="0" w:color="auto"/>
        <w:right w:val="none" w:sz="0" w:space="0" w:color="auto"/>
      </w:divBdr>
      <w:divsChild>
        <w:div w:id="1932006117">
          <w:marLeft w:val="547"/>
          <w:marRight w:val="0"/>
          <w:marTop w:val="134"/>
          <w:marBottom w:val="0"/>
          <w:divBdr>
            <w:top w:val="none" w:sz="0" w:space="0" w:color="auto"/>
            <w:left w:val="none" w:sz="0" w:space="0" w:color="auto"/>
            <w:bottom w:val="none" w:sz="0" w:space="0" w:color="auto"/>
            <w:right w:val="none" w:sz="0" w:space="0" w:color="auto"/>
          </w:divBdr>
        </w:div>
        <w:div w:id="1377730020">
          <w:marLeft w:val="1166"/>
          <w:marRight w:val="0"/>
          <w:marTop w:val="115"/>
          <w:marBottom w:val="0"/>
          <w:divBdr>
            <w:top w:val="none" w:sz="0" w:space="0" w:color="auto"/>
            <w:left w:val="none" w:sz="0" w:space="0" w:color="auto"/>
            <w:bottom w:val="none" w:sz="0" w:space="0" w:color="auto"/>
            <w:right w:val="none" w:sz="0" w:space="0" w:color="auto"/>
          </w:divBdr>
        </w:div>
        <w:div w:id="428623064">
          <w:marLeft w:val="1166"/>
          <w:marRight w:val="0"/>
          <w:marTop w:val="115"/>
          <w:marBottom w:val="0"/>
          <w:divBdr>
            <w:top w:val="none" w:sz="0" w:space="0" w:color="auto"/>
            <w:left w:val="none" w:sz="0" w:space="0" w:color="auto"/>
            <w:bottom w:val="none" w:sz="0" w:space="0" w:color="auto"/>
            <w:right w:val="none" w:sz="0" w:space="0" w:color="auto"/>
          </w:divBdr>
        </w:div>
        <w:div w:id="1484852472">
          <w:marLeft w:val="1800"/>
          <w:marRight w:val="0"/>
          <w:marTop w:val="96"/>
          <w:marBottom w:val="0"/>
          <w:divBdr>
            <w:top w:val="none" w:sz="0" w:space="0" w:color="auto"/>
            <w:left w:val="none" w:sz="0" w:space="0" w:color="auto"/>
            <w:bottom w:val="none" w:sz="0" w:space="0" w:color="auto"/>
            <w:right w:val="none" w:sz="0" w:space="0" w:color="auto"/>
          </w:divBdr>
        </w:div>
        <w:div w:id="2103718581">
          <w:marLeft w:val="1800"/>
          <w:marRight w:val="0"/>
          <w:marTop w:val="96"/>
          <w:marBottom w:val="0"/>
          <w:divBdr>
            <w:top w:val="none" w:sz="0" w:space="0" w:color="auto"/>
            <w:left w:val="none" w:sz="0" w:space="0" w:color="auto"/>
            <w:bottom w:val="none" w:sz="0" w:space="0" w:color="auto"/>
            <w:right w:val="none" w:sz="0" w:space="0" w:color="auto"/>
          </w:divBdr>
        </w:div>
        <w:div w:id="1769306028">
          <w:marLeft w:val="1800"/>
          <w:marRight w:val="0"/>
          <w:marTop w:val="96"/>
          <w:marBottom w:val="0"/>
          <w:divBdr>
            <w:top w:val="none" w:sz="0" w:space="0" w:color="auto"/>
            <w:left w:val="none" w:sz="0" w:space="0" w:color="auto"/>
            <w:bottom w:val="none" w:sz="0" w:space="0" w:color="auto"/>
            <w:right w:val="none" w:sz="0" w:space="0" w:color="auto"/>
          </w:divBdr>
        </w:div>
        <w:div w:id="460806188">
          <w:marLeft w:val="547"/>
          <w:marRight w:val="0"/>
          <w:marTop w:val="134"/>
          <w:marBottom w:val="0"/>
          <w:divBdr>
            <w:top w:val="none" w:sz="0" w:space="0" w:color="auto"/>
            <w:left w:val="none" w:sz="0" w:space="0" w:color="auto"/>
            <w:bottom w:val="none" w:sz="0" w:space="0" w:color="auto"/>
            <w:right w:val="none" w:sz="0" w:space="0" w:color="auto"/>
          </w:divBdr>
        </w:div>
        <w:div w:id="1558319128">
          <w:marLeft w:val="547"/>
          <w:marRight w:val="0"/>
          <w:marTop w:val="134"/>
          <w:marBottom w:val="0"/>
          <w:divBdr>
            <w:top w:val="none" w:sz="0" w:space="0" w:color="auto"/>
            <w:left w:val="none" w:sz="0" w:space="0" w:color="auto"/>
            <w:bottom w:val="none" w:sz="0" w:space="0" w:color="auto"/>
            <w:right w:val="none" w:sz="0" w:space="0" w:color="auto"/>
          </w:divBdr>
        </w:div>
      </w:divsChild>
    </w:div>
    <w:div w:id="1841967769">
      <w:bodyDiv w:val="1"/>
      <w:marLeft w:val="0"/>
      <w:marRight w:val="0"/>
      <w:marTop w:val="0"/>
      <w:marBottom w:val="0"/>
      <w:divBdr>
        <w:top w:val="none" w:sz="0" w:space="0" w:color="auto"/>
        <w:left w:val="none" w:sz="0" w:space="0" w:color="auto"/>
        <w:bottom w:val="none" w:sz="0" w:space="0" w:color="auto"/>
        <w:right w:val="none" w:sz="0" w:space="0" w:color="auto"/>
      </w:divBdr>
      <w:divsChild>
        <w:div w:id="1024864472">
          <w:marLeft w:val="547"/>
          <w:marRight w:val="0"/>
          <w:marTop w:val="154"/>
          <w:marBottom w:val="0"/>
          <w:divBdr>
            <w:top w:val="none" w:sz="0" w:space="0" w:color="auto"/>
            <w:left w:val="none" w:sz="0" w:space="0" w:color="auto"/>
            <w:bottom w:val="none" w:sz="0" w:space="0" w:color="auto"/>
            <w:right w:val="none" w:sz="0" w:space="0" w:color="auto"/>
          </w:divBdr>
        </w:div>
        <w:div w:id="1489858304">
          <w:marLeft w:val="1166"/>
          <w:marRight w:val="0"/>
          <w:marTop w:val="134"/>
          <w:marBottom w:val="0"/>
          <w:divBdr>
            <w:top w:val="none" w:sz="0" w:space="0" w:color="auto"/>
            <w:left w:val="none" w:sz="0" w:space="0" w:color="auto"/>
            <w:bottom w:val="none" w:sz="0" w:space="0" w:color="auto"/>
            <w:right w:val="none" w:sz="0" w:space="0" w:color="auto"/>
          </w:divBdr>
        </w:div>
        <w:div w:id="2005474317">
          <w:marLeft w:val="1800"/>
          <w:marRight w:val="0"/>
          <w:marTop w:val="115"/>
          <w:marBottom w:val="0"/>
          <w:divBdr>
            <w:top w:val="none" w:sz="0" w:space="0" w:color="auto"/>
            <w:left w:val="none" w:sz="0" w:space="0" w:color="auto"/>
            <w:bottom w:val="none" w:sz="0" w:space="0" w:color="auto"/>
            <w:right w:val="none" w:sz="0" w:space="0" w:color="auto"/>
          </w:divBdr>
        </w:div>
        <w:div w:id="738213858">
          <w:marLeft w:val="1800"/>
          <w:marRight w:val="0"/>
          <w:marTop w:val="115"/>
          <w:marBottom w:val="0"/>
          <w:divBdr>
            <w:top w:val="none" w:sz="0" w:space="0" w:color="auto"/>
            <w:left w:val="none" w:sz="0" w:space="0" w:color="auto"/>
            <w:bottom w:val="none" w:sz="0" w:space="0" w:color="auto"/>
            <w:right w:val="none" w:sz="0" w:space="0" w:color="auto"/>
          </w:divBdr>
        </w:div>
      </w:divsChild>
    </w:div>
    <w:div w:id="1899437636">
      <w:bodyDiv w:val="1"/>
      <w:marLeft w:val="0"/>
      <w:marRight w:val="0"/>
      <w:marTop w:val="0"/>
      <w:marBottom w:val="0"/>
      <w:divBdr>
        <w:top w:val="none" w:sz="0" w:space="0" w:color="auto"/>
        <w:left w:val="none" w:sz="0" w:space="0" w:color="auto"/>
        <w:bottom w:val="none" w:sz="0" w:space="0" w:color="auto"/>
        <w:right w:val="none" w:sz="0" w:space="0" w:color="auto"/>
      </w:divBdr>
      <w:divsChild>
        <w:div w:id="1576090660">
          <w:marLeft w:val="547"/>
          <w:marRight w:val="0"/>
          <w:marTop w:val="130"/>
          <w:marBottom w:val="0"/>
          <w:divBdr>
            <w:top w:val="none" w:sz="0" w:space="0" w:color="auto"/>
            <w:left w:val="none" w:sz="0" w:space="0" w:color="auto"/>
            <w:bottom w:val="none" w:sz="0" w:space="0" w:color="auto"/>
            <w:right w:val="none" w:sz="0" w:space="0" w:color="auto"/>
          </w:divBdr>
        </w:div>
        <w:div w:id="2096319190">
          <w:marLeft w:val="1166"/>
          <w:marRight w:val="0"/>
          <w:marTop w:val="115"/>
          <w:marBottom w:val="0"/>
          <w:divBdr>
            <w:top w:val="none" w:sz="0" w:space="0" w:color="auto"/>
            <w:left w:val="none" w:sz="0" w:space="0" w:color="auto"/>
            <w:bottom w:val="none" w:sz="0" w:space="0" w:color="auto"/>
            <w:right w:val="none" w:sz="0" w:space="0" w:color="auto"/>
          </w:divBdr>
        </w:div>
        <w:div w:id="1022706799">
          <w:marLeft w:val="1166"/>
          <w:marRight w:val="0"/>
          <w:marTop w:val="115"/>
          <w:marBottom w:val="0"/>
          <w:divBdr>
            <w:top w:val="none" w:sz="0" w:space="0" w:color="auto"/>
            <w:left w:val="none" w:sz="0" w:space="0" w:color="auto"/>
            <w:bottom w:val="none" w:sz="0" w:space="0" w:color="auto"/>
            <w:right w:val="none" w:sz="0" w:space="0" w:color="auto"/>
          </w:divBdr>
        </w:div>
      </w:divsChild>
    </w:div>
    <w:div w:id="2072458880">
      <w:bodyDiv w:val="1"/>
      <w:marLeft w:val="0"/>
      <w:marRight w:val="0"/>
      <w:marTop w:val="0"/>
      <w:marBottom w:val="0"/>
      <w:divBdr>
        <w:top w:val="none" w:sz="0" w:space="0" w:color="auto"/>
        <w:left w:val="none" w:sz="0" w:space="0" w:color="auto"/>
        <w:bottom w:val="none" w:sz="0" w:space="0" w:color="auto"/>
        <w:right w:val="none" w:sz="0" w:space="0" w:color="auto"/>
      </w:divBdr>
      <w:divsChild>
        <w:div w:id="210209583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3gpp.org/ftp/tsg_ran/WG2_RL2/TSGR2_102/Docs/R2-180858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02/Docs/R2-180864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80/Docs/RP-181484.zip"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WG2_RL2/TSGR2_AHs/2018_07_NR/Docs/R2-18100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4E946-47DF-4023-93B4-B599973B6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2859</Words>
  <Characters>16299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4</cp:revision>
  <dcterms:created xsi:type="dcterms:W3CDTF">2018-06-25T15:32:00Z</dcterms:created>
  <dcterms:modified xsi:type="dcterms:W3CDTF">2018-06-25T16:35:00Z</dcterms:modified>
</cp:coreProperties>
</file>